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2256"/>
        <w:gridCol w:w="2256"/>
        <w:gridCol w:w="2256"/>
        <w:gridCol w:w="2256"/>
      </w:tblGrid>
      <w:tr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2256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</w:tr>
      <w:tr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treatment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0.500</w:t>
            </w:r>
          </w:p>
        </w:tc>
        <w:tc>
          <w:tcPr>
            <w:tcW w:w="2256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0.500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workyear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3.000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1.414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year1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year2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year3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year4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year5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univerquality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2.010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0.813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high_univer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0.326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0.469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mid_univer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0.338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low_univer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0.336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male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0.520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jobnum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1.309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0.555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shanghaihaishi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0.247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shanghaihaiyang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0.252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0.434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beijinggongshang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0.251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0.434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beifanggongye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0.250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0.433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selfevaluation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0.494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0.500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reqmaster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4488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0.240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0.427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highsalary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0.533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0.499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lowsalary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0.368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0.482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negosalary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0.299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english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0.124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malehr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4490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0.240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0.427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chanpin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ruanjian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touzi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0.167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zhengquan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0.167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lgfirm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4424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mdfirm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4424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smllfirm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4424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0.339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ipo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0.167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min_qi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0.833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0.373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guo_qi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0.092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0.288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wai_qi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0.076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0.264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occupation_num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4482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250.877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1025.970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it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internet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finance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beijing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shanghai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0.471</w:t>
            </w:r>
          </w:p>
        </w:tc>
      </w:tr>
      <w:tr>
        <w:tc>
          <w:tcPr>
            <w:tcW w:w="2256" w:type="dxa"/>
            <w:vAlign w:val="center"/>
          </w:tcPr>
          <w:p>
            <w:pPr>
              <w:spacing w:after="0"/>
              <w:jc w:val="left"/>
            </w:pPr>
            <w:r>
              <w:t xml:space="preserve">shenzhen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4500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0.333</w:t>
            </w:r>
          </w:p>
        </w:tc>
        <w:tc>
          <w:tcPr>
            <w:tcW w:w="2256" w:type="dxa"/>
            <w:vAlign w:val="center"/>
          </w:tcPr>
          <w:p>
            <w:pPr>
              <w:spacing w:after="0"/>
              <w:jc w:val="right"/>
            </w:pPr>
            <w:r>
              <w:t xml:space="preserve">0.471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