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中国式影子银行的收缩与企业投资行为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——基于资管新规出台背景的证据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冀志斌 叶耐德 孔东民</w:t>
      </w:r>
    </w:p>
    <w:p>
      <w:pPr>
        <w:snapToGrid w:val="0"/>
        <w:spacing w:line="30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napToGrid w:val="0"/>
        <w:spacing w:line="300" w:lineRule="auto"/>
        <w:jc w:val="center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spacing w:before="340" w:beforeLines="100" w:after="340" w:afterLines="1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目录</w:t>
      </w:r>
    </w:p>
    <w:p>
      <w:pPr>
        <w:pStyle w:val="4"/>
        <w:tabs>
          <w:tab w:val="right" w:leader="dot" w:pos="8296"/>
        </w:tabs>
        <w:rPr>
          <w:rFonts w:hint="eastAsia" w:ascii="仿宋" w:hAnsi="仿宋" w:eastAsia="仿宋" w:cs="仿宋"/>
          <w:kern w:val="2"/>
          <w:sz w:val="22"/>
          <w:szCs w:val="22"/>
          <w14:ligatures w14:val="standardContextual"/>
        </w:rPr>
      </w:pP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TOC \o "1-3" \h \z \u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HYPERLINK \l "_Toc159314266"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Style w:val="8"/>
          <w:rFonts w:hint="eastAsia" w:ascii="仿宋" w:hAnsi="仿宋" w:eastAsia="仿宋" w:cs="仿宋"/>
          <w:sz w:val="22"/>
          <w:szCs w:val="22"/>
        </w:rPr>
        <w:t>附录Ⅰ</w:t>
      </w:r>
      <w:r>
        <w:rPr>
          <w:rStyle w:val="8"/>
          <w:rFonts w:hint="eastAsia" w:ascii="仿宋" w:hAnsi="仿宋" w:eastAsia="仿宋" w:cs="仿宋"/>
          <w:sz w:val="22"/>
          <w:szCs w:val="22"/>
          <w:lang w:val="en-US" w:eastAsia="zh-CN"/>
        </w:rPr>
        <w:t xml:space="preserve"> </w:t>
      </w:r>
      <w:r>
        <w:rPr>
          <w:rStyle w:val="8"/>
          <w:rFonts w:hint="eastAsia" w:ascii="仿宋" w:hAnsi="仿宋" w:eastAsia="仿宋" w:cs="仿宋"/>
          <w:sz w:val="22"/>
          <w:szCs w:val="22"/>
        </w:rPr>
        <w:t>安慰剂检验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4"/>
        <w:tabs>
          <w:tab w:val="right" w:leader="dot" w:pos="8296"/>
        </w:tabs>
        <w:rPr>
          <w:rFonts w:hint="eastAsia" w:ascii="仿宋" w:hAnsi="仿宋" w:eastAsia="仿宋" w:cs="仿宋"/>
          <w:kern w:val="2"/>
          <w:sz w:val="22"/>
          <w:szCs w:val="22"/>
          <w14:ligatures w14:val="standardContextual"/>
        </w:rPr>
      </w:pP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HYPERLINK \l "_Toc159314267"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Style w:val="8"/>
          <w:rFonts w:hint="eastAsia" w:ascii="仿宋" w:hAnsi="仿宋" w:eastAsia="仿宋" w:cs="仿宋"/>
          <w:sz w:val="22"/>
          <w:szCs w:val="22"/>
        </w:rPr>
        <w:t>附录Ⅱ</w:t>
      </w:r>
      <w:r>
        <w:rPr>
          <w:rStyle w:val="8"/>
          <w:rFonts w:hint="eastAsia" w:ascii="仿宋" w:hAnsi="仿宋" w:eastAsia="仿宋" w:cs="仿宋"/>
          <w:sz w:val="22"/>
          <w:szCs w:val="22"/>
          <w:lang w:val="en-US" w:eastAsia="zh-CN"/>
        </w:rPr>
        <w:t xml:space="preserve"> </w:t>
      </w:r>
      <w:r>
        <w:rPr>
          <w:rStyle w:val="8"/>
          <w:rFonts w:hint="eastAsia" w:ascii="仿宋" w:hAnsi="仿宋" w:eastAsia="仿宋" w:cs="仿宋"/>
          <w:sz w:val="22"/>
          <w:szCs w:val="22"/>
        </w:rPr>
        <w:t>附表与附图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zh-CN"/>
        </w:rPr>
        <w:fldChar w:fldCharType="end"/>
      </w: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1" w:name="_GoBack"/>
      <w:bookmarkEnd w:id="1"/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30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附录Ⅰ 安慰剂检验</w:t>
      </w:r>
    </w:p>
    <w:p>
      <w:pPr>
        <w:snapToGrid w:val="0"/>
        <w:spacing w:line="300" w:lineRule="auto"/>
        <w:jc w:val="center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snapToGrid w:val="0"/>
        <w:spacing w:line="300" w:lineRule="auto"/>
        <w:ind w:firstLine="420" w:firstLineChars="200"/>
        <w:rPr>
          <w:rFonts w:hint="eastAsia" w:ascii="Times New Roman" w:hAnsi="Times New Roman" w:eastAsia="仿宋" w:cs="Times New Roman"/>
          <w:sz w:val="21"/>
          <w:szCs w:val="21"/>
        </w:rPr>
      </w:pPr>
      <w:r>
        <w:rPr>
          <w:rFonts w:ascii="Times New Roman" w:hAnsi="Times New Roman" w:eastAsia="仿宋" w:cs="Times New Roman"/>
          <w:sz w:val="21"/>
          <w:szCs w:val="21"/>
        </w:rPr>
        <w:t>为了保证本文的结果不是其他政策或者随机性因素造成的，我们通过从样本中随机抽取企业设定实验组</w:t>
      </w:r>
      <w:r>
        <w:rPr>
          <w:rFonts w:hint="eastAsia" w:ascii="Times New Roman" w:hAnsi="Times New Roman" w:eastAsia="仿宋" w:cs="Times New Roman"/>
          <w:sz w:val="21"/>
          <w:szCs w:val="21"/>
        </w:rPr>
        <w:t>与控制</w:t>
      </w:r>
      <w:r>
        <w:rPr>
          <w:rFonts w:ascii="Times New Roman" w:hAnsi="Times New Roman" w:eastAsia="仿宋" w:cs="Times New Roman"/>
          <w:sz w:val="21"/>
          <w:szCs w:val="21"/>
        </w:rPr>
        <w:t>组。由于本文的</w:t>
      </w:r>
      <w:r>
        <w:rPr>
          <w:rFonts w:hint="eastAsia" w:ascii="Times New Roman" w:hAnsi="Times New Roman" w:eastAsia="仿宋" w:cs="Times New Roman"/>
          <w:sz w:val="21"/>
          <w:szCs w:val="21"/>
        </w:rPr>
        <w:t>实验组</w:t>
      </w:r>
      <w:r>
        <w:rPr>
          <w:rFonts w:ascii="Times New Roman" w:hAnsi="Times New Roman" w:eastAsia="仿宋" w:cs="Times New Roman"/>
          <w:sz w:val="21"/>
          <w:szCs w:val="21"/>
        </w:rPr>
        <w:t>中包含了310家企业，因此我们首先从3402家企业中随机抽取310家企业，将其设定为“伪”</w:t>
      </w:r>
      <w:r>
        <w:rPr>
          <w:rFonts w:hint="eastAsia" w:ascii="Times New Roman" w:hAnsi="Times New Roman" w:eastAsia="仿宋" w:cs="Times New Roman"/>
          <w:sz w:val="21"/>
          <w:szCs w:val="21"/>
        </w:rPr>
        <w:t>实验</w:t>
      </w:r>
      <w:r>
        <w:rPr>
          <w:rFonts w:ascii="Times New Roman" w:hAnsi="Times New Roman" w:eastAsia="仿宋" w:cs="Times New Roman"/>
          <w:sz w:val="21"/>
          <w:szCs w:val="21"/>
        </w:rPr>
        <w:t>组，</w:t>
      </w:r>
      <w:r>
        <w:rPr>
          <w:rFonts w:hint="eastAsia" w:ascii="Times New Roman" w:hAnsi="Times New Roman" w:eastAsia="仿宋" w:cs="Times New Roman"/>
          <w:sz w:val="21"/>
          <w:szCs w:val="21"/>
        </w:rPr>
        <w:t>并为“伪”实验组企业设定指示变量</w:t>
      </w:r>
      <w:r>
        <w:rPr>
          <w:rFonts w:hint="eastAsia" w:ascii="Times New Roman" w:hAnsi="Times New Roman" w:eastAsia="仿宋" w:cs="Times New Roman"/>
          <w:i/>
          <w:iCs/>
          <w:sz w:val="21"/>
          <w:szCs w:val="21"/>
        </w:rPr>
        <w:t>treat</w:t>
      </w:r>
      <w:r>
        <w:rPr>
          <w:rFonts w:ascii="Times New Roman" w:hAnsi="Times New Roman" w:eastAsia="仿宋" w:cs="Times New Roman"/>
          <w:i/>
          <w:iCs/>
          <w:sz w:val="21"/>
          <w:szCs w:val="21"/>
        </w:rPr>
        <w:t>1</w:t>
      </w:r>
      <w:r>
        <w:rPr>
          <w:rFonts w:hint="eastAsia" w:ascii="Times New Roman" w:hAnsi="Times New Roman" w:eastAsia="仿宋" w:cs="Times New Roman"/>
          <w:sz w:val="21"/>
          <w:szCs w:val="21"/>
        </w:rPr>
        <w:t>，构建交互项</w:t>
      </w:r>
      <w:r>
        <w:rPr>
          <w:rFonts w:hint="eastAsia" w:ascii="Times New Roman" w:hAnsi="Times New Roman" w:eastAsia="仿宋" w:cs="Times New Roman"/>
          <w:i/>
          <w:iCs/>
          <w:sz w:val="21"/>
          <w:szCs w:val="21"/>
        </w:rPr>
        <w:t>treat</w:t>
      </w:r>
      <w:r>
        <w:rPr>
          <w:rFonts w:ascii="Times New Roman" w:hAnsi="Times New Roman" w:eastAsia="仿宋" w:cs="Times New Roman"/>
          <w:i/>
          <w:iCs/>
          <w:sz w:val="21"/>
          <w:szCs w:val="21"/>
        </w:rPr>
        <w:t>1</w:t>
      </w:r>
      <m:oMath>
        <m:r>
          <m:rPr/>
          <w:rPr>
            <w:rFonts w:ascii="Cambria Math" w:hAnsi="Cambria Math" w:eastAsia="仿宋" w:cs="Times New Roman"/>
            <w:sz w:val="21"/>
            <w:szCs w:val="21"/>
          </w:rPr>
          <m:t>×</m:t>
        </m:r>
      </m:oMath>
      <w:r>
        <w:rPr>
          <w:rFonts w:ascii="Times New Roman" w:hAnsi="Times New Roman" w:eastAsia="仿宋" w:cs="Times New Roman"/>
          <w:i/>
          <w:iCs/>
          <w:sz w:val="21"/>
          <w:szCs w:val="21"/>
        </w:rPr>
        <w:t>post</w:t>
      </w:r>
      <w:r>
        <w:rPr>
          <w:rFonts w:hint="eastAsia" w:ascii="Times New Roman" w:hAnsi="Times New Roman" w:eastAsia="仿宋" w:cs="Times New Roman"/>
          <w:sz w:val="21"/>
          <w:szCs w:val="21"/>
        </w:rPr>
        <w:t>。</w:t>
      </w:r>
      <w:r>
        <w:rPr>
          <w:rFonts w:ascii="Times New Roman" w:hAnsi="Times New Roman" w:eastAsia="仿宋" w:cs="Times New Roman"/>
          <w:sz w:val="21"/>
          <w:szCs w:val="21"/>
        </w:rPr>
        <w:t>如果本文的结果不是由其他因素驱动的，那么该交互项的系数估计值不会显著异于0。我们重复上述随机处理的过程500次，以避免小概率事件对估计结果的干扰。图</w:t>
      </w:r>
      <w:r>
        <w:rPr>
          <w:rFonts w:hint="eastAsia" w:ascii="宋体" w:hAnsi="宋体" w:eastAsia="宋体" w:cs="宋体"/>
          <w:sz w:val="21"/>
          <w:szCs w:val="21"/>
        </w:rPr>
        <w:t>Ⅰ</w:t>
      </w:r>
      <w:r>
        <w:rPr>
          <w:rFonts w:ascii="Times New Roman" w:hAnsi="Times New Roman" w:eastAsia="黑体" w:cs="Times New Roman"/>
          <w:sz w:val="21"/>
          <w:szCs w:val="21"/>
        </w:rPr>
        <w:t>1</w:t>
      </w:r>
      <w:r>
        <w:rPr>
          <w:rFonts w:ascii="Times New Roman" w:hAnsi="Times New Roman" w:eastAsia="仿宋" w:cs="Times New Roman"/>
          <w:sz w:val="21"/>
          <w:szCs w:val="21"/>
        </w:rPr>
        <w:t>报告了500次随机生成实验组的估计系数核密度与</w:t>
      </w:r>
      <w:r>
        <w:rPr>
          <w:rFonts w:ascii="Times New Roman" w:hAnsi="Times New Roman" w:eastAsia="仿宋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仿宋" w:cs="Times New Roman"/>
          <w:sz w:val="21"/>
          <w:szCs w:val="21"/>
        </w:rPr>
        <w:t>值的分布。图</w:t>
      </w:r>
      <w:r>
        <w:rPr>
          <w:rFonts w:hint="eastAsia" w:ascii="宋体" w:hAnsi="宋体" w:eastAsia="宋体" w:cs="宋体"/>
          <w:sz w:val="21"/>
          <w:szCs w:val="21"/>
        </w:rPr>
        <w:t>Ⅰ</w:t>
      </w:r>
      <w:r>
        <w:rPr>
          <w:rFonts w:ascii="Times New Roman" w:hAnsi="Times New Roman" w:eastAsia="黑体" w:cs="Times New Roman"/>
          <w:sz w:val="21"/>
          <w:szCs w:val="21"/>
        </w:rPr>
        <w:t>1</w:t>
      </w:r>
      <w:r>
        <w:rPr>
          <w:rFonts w:ascii="Times New Roman" w:hAnsi="Times New Roman" w:eastAsia="仿宋" w:cs="Times New Roman"/>
          <w:sz w:val="21"/>
          <w:szCs w:val="21"/>
        </w:rPr>
        <w:t>表明：由随机分组生成的交乘项系数估计值的均值接近0，同时，绝大部分估计值的</w:t>
      </w:r>
      <w:r>
        <w:rPr>
          <w:rFonts w:ascii="Times New Roman" w:hAnsi="Times New Roman" w:eastAsia="仿宋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仿宋" w:cs="Times New Roman"/>
          <w:sz w:val="21"/>
          <w:szCs w:val="21"/>
        </w:rPr>
        <w:t>值大于0.1。并且，图</w:t>
      </w:r>
      <w:r>
        <w:rPr>
          <w:rFonts w:hint="eastAsia" w:ascii="宋体" w:hAnsi="宋体" w:eastAsia="宋体" w:cs="宋体"/>
          <w:sz w:val="21"/>
          <w:szCs w:val="21"/>
        </w:rPr>
        <w:t>Ⅰ</w:t>
      </w:r>
      <w:r>
        <w:rPr>
          <w:rFonts w:ascii="Times New Roman" w:hAnsi="Times New Roman" w:eastAsia="黑体" w:cs="Times New Roman"/>
          <w:sz w:val="21"/>
          <w:szCs w:val="21"/>
        </w:rPr>
        <w:t>1</w:t>
      </w:r>
      <w:r>
        <w:rPr>
          <w:rFonts w:ascii="Times New Roman" w:hAnsi="Times New Roman" w:eastAsia="仿宋" w:cs="Times New Roman"/>
          <w:sz w:val="21"/>
          <w:szCs w:val="21"/>
        </w:rPr>
        <w:t>中平行于</w:t>
      </w:r>
      <w:r>
        <w:rPr>
          <w:rFonts w:ascii="Times New Roman" w:hAnsi="Times New Roman" w:eastAsia="仿宋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仿宋" w:cs="Times New Roman"/>
          <w:sz w:val="21"/>
          <w:szCs w:val="21"/>
        </w:rPr>
        <w:t>轴的虚线对应的是</w:t>
      </w:r>
      <w:r>
        <w:rPr>
          <w:rFonts w:hint="eastAsia" w:ascii="Times New Roman" w:hAnsi="Times New Roman" w:eastAsia="仿宋" w:cs="Times New Roman"/>
          <w:sz w:val="21"/>
          <w:szCs w:val="21"/>
        </w:rPr>
        <w:t>正文基准回归</w:t>
      </w:r>
      <w:r>
        <w:rPr>
          <w:rFonts w:ascii="Times New Roman" w:hAnsi="Times New Roman" w:eastAsia="仿宋" w:cs="Times New Roman"/>
          <w:sz w:val="21"/>
          <w:szCs w:val="21"/>
        </w:rPr>
        <w:t>的实际估计值，在安慰剂检验的估计系数中明显属于异常值。这些结果表明，本文的估计结果不太可能是由其他不可观测因素驱动的。</w:t>
      </w:r>
    </w:p>
    <w:p>
      <w:pPr>
        <w:jc w:val="center"/>
      </w:pPr>
    </w:p>
    <w:p>
      <w:pPr>
        <w:jc w:val="center"/>
      </w:pPr>
      <w:r>
        <w:rPr>
          <w:rFonts w:ascii="Times New Roman" w:hAnsi="Times New Roman" w:eastAsia="仿宋" w:cs="Times New Roman"/>
          <w:sz w:val="24"/>
          <w:szCs w:val="24"/>
        </w:rPr>
        <w:drawing>
          <wp:inline distT="0" distB="0" distL="0" distR="0">
            <wp:extent cx="4200525" cy="3052445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5787" cy="305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center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图Ⅰ1  安慰剂检验</w:t>
      </w:r>
    </w:p>
    <w:p>
      <w:pPr>
        <w:spacing w:line="300" w:lineRule="auto"/>
        <w:jc w:val="left"/>
        <w:rPr>
          <w:rFonts w:ascii="Times New Roman" w:hAnsi="Times New Roman" w:eastAsia="仿宋" w:cs="Times New Roman"/>
          <w:sz w:val="18"/>
          <w:szCs w:val="18"/>
        </w:rPr>
      </w:pPr>
      <w:r>
        <w:rPr>
          <w:rFonts w:ascii="Times New Roman" w:hAnsi="Times New Roman" w:eastAsia="仿宋" w:cs="Times New Roman"/>
          <w:sz w:val="18"/>
          <w:szCs w:val="18"/>
        </w:rPr>
        <w:t>注：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X</w:t>
      </w:r>
      <w:r>
        <w:rPr>
          <w:rFonts w:ascii="Times New Roman" w:hAnsi="Times New Roman" w:eastAsia="仿宋" w:cs="Times New Roman"/>
          <w:sz w:val="18"/>
          <w:szCs w:val="18"/>
        </w:rPr>
        <w:t>轴表示500个随机分配的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treat</w:t>
      </w:r>
      <w:r>
        <w:rPr>
          <w:rFonts w:ascii="Times New Roman" w:hAnsi="Times New Roman" w:eastAsia="仿宋" w:cs="Times New Roman"/>
          <w:sz w:val="18"/>
          <w:szCs w:val="18"/>
        </w:rPr>
        <w:t>1×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post</w:t>
      </w:r>
      <w:r>
        <w:rPr>
          <w:rFonts w:ascii="Times New Roman" w:hAnsi="Times New Roman" w:eastAsia="仿宋" w:cs="Times New Roman"/>
          <w:sz w:val="18"/>
          <w:szCs w:val="18"/>
        </w:rPr>
        <w:t>的估计系数。曲线是估计的核密度分布，点是系数估计对应的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p</w:t>
      </w:r>
      <w:r>
        <w:rPr>
          <w:rFonts w:ascii="Times New Roman" w:hAnsi="Times New Roman" w:eastAsia="仿宋" w:cs="Times New Roman"/>
          <w:sz w:val="18"/>
          <w:szCs w:val="18"/>
        </w:rPr>
        <w:t>值。平行于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X</w:t>
      </w:r>
      <w:r>
        <w:rPr>
          <w:rFonts w:ascii="Times New Roman" w:hAnsi="Times New Roman" w:eastAsia="仿宋" w:cs="Times New Roman"/>
          <w:sz w:val="18"/>
          <w:szCs w:val="18"/>
        </w:rPr>
        <w:t>轴的虚线对应0.1的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p</w:t>
      </w:r>
      <w:r>
        <w:rPr>
          <w:rFonts w:ascii="Times New Roman" w:hAnsi="Times New Roman" w:eastAsia="仿宋" w:cs="Times New Roman"/>
          <w:sz w:val="18"/>
          <w:szCs w:val="18"/>
        </w:rPr>
        <w:t>值，平行于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Y</w:t>
      </w:r>
      <w:r>
        <w:rPr>
          <w:rFonts w:ascii="Times New Roman" w:hAnsi="Times New Roman" w:eastAsia="仿宋" w:cs="Times New Roman"/>
          <w:sz w:val="18"/>
          <w:szCs w:val="18"/>
        </w:rPr>
        <w:t>轴的虚线对应上文的实际估计值-0.183。</w:t>
      </w:r>
    </w:p>
    <w:p/>
    <w:p/>
    <w:p/>
    <w:p/>
    <w:p/>
    <w:p/>
    <w:p/>
    <w:p/>
    <w:p/>
    <w:p/>
    <w:p>
      <w:pPr>
        <w:jc w:val="center"/>
        <w:rPr>
          <w:rFonts w:hint="eastAsia" w:ascii="楷体" w:hAnsi="楷体" w:eastAsia="楷体" w:cs="楷体"/>
          <w:sz w:val="28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2"/>
          <w:lang w:val="en-US" w:eastAsia="zh-CN"/>
        </w:rPr>
        <w:t>附录Ⅱ 附表与附图</w:t>
      </w:r>
    </w:p>
    <w:p/>
    <w:p>
      <w:pPr>
        <w:rPr>
          <w:rFonts w:hint="eastAsia"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表A1 稳健性检验:更换企业投资的代理变量</w:t>
      </w:r>
    </w:p>
    <w:tbl>
      <w:tblPr>
        <w:tblStyle w:val="6"/>
        <w:tblW w:w="102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1967"/>
        <w:gridCol w:w="2149"/>
        <w:gridCol w:w="2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01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被解释变量</w:t>
            </w:r>
          </w:p>
        </w:tc>
        <w:tc>
          <w:tcPr>
            <w:tcW w:w="196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(1)</w:t>
            </w:r>
          </w:p>
        </w:tc>
        <w:tc>
          <w:tcPr>
            <w:tcW w:w="214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(2)</w:t>
            </w:r>
          </w:p>
        </w:tc>
        <w:tc>
          <w:tcPr>
            <w:tcW w:w="242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01" w:type="dxa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IHS Investment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Investment/Asset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Investment/Capital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0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treat × post</w:t>
            </w:r>
          </w:p>
        </w:tc>
        <w:tc>
          <w:tcPr>
            <w:tcW w:w="196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-0.143**</w:t>
            </w:r>
          </w:p>
        </w:tc>
        <w:tc>
          <w:tcPr>
            <w:tcW w:w="214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-0.373***</w:t>
            </w:r>
          </w:p>
        </w:tc>
        <w:tc>
          <w:tcPr>
            <w:tcW w:w="242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-3.491*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(0.064)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(0.143)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(1.995)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控制变量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公司固定效应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/>
    <w:p>
      <w:pPr>
        <w:jc w:val="center"/>
        <w:rPr>
          <w:rFonts w:hint="eastAsia" w:ascii="黑体" w:hAnsi="黑体" w:eastAsia="黑体" w:cs="黑体"/>
          <w:sz w:val="18"/>
          <w:szCs w:val="18"/>
        </w:rPr>
      </w:pPr>
      <w:bookmarkStart w:id="0" w:name="_Hlk110028408"/>
      <w:r>
        <w:rPr>
          <w:rFonts w:hint="eastAsia" w:ascii="黑体" w:hAnsi="黑体" w:eastAsia="黑体" w:cs="黑体"/>
          <w:sz w:val="18"/>
          <w:szCs w:val="18"/>
        </w:rPr>
        <w:t>表A2 资管新规的颁布对企业借款规模的影响</w:t>
      </w:r>
    </w:p>
    <w:bookmarkEnd w:id="0"/>
    <w:tbl>
      <w:tblPr>
        <w:tblStyle w:val="6"/>
        <w:tblW w:w="102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1742"/>
        <w:gridCol w:w="1742"/>
        <w:gridCol w:w="1742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3071" w:type="dxa"/>
            <w:vMerge w:val="restart"/>
            <w:tcBorders>
              <w:top w:val="single" w:color="auto" w:sz="1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被解释变量</w:t>
            </w:r>
          </w:p>
        </w:tc>
        <w:tc>
          <w:tcPr>
            <w:tcW w:w="1633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(1)</w:t>
            </w:r>
          </w:p>
        </w:tc>
        <w:tc>
          <w:tcPr>
            <w:tcW w:w="1633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(2)</w:t>
            </w:r>
          </w:p>
        </w:tc>
        <w:tc>
          <w:tcPr>
            <w:tcW w:w="1633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(3)</w:t>
            </w:r>
          </w:p>
        </w:tc>
        <w:tc>
          <w:tcPr>
            <w:tcW w:w="1633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071" w:type="dxa"/>
            <w:vMerge w:val="continue"/>
            <w:tcBorders>
              <w:top w:val="single" w:color="auto" w:sz="12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log Borrowing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log Borrowing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log Borrowing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log Borrowing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treat × post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-0.177***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-0.189***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-0.196***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-0.180***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(0.062)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(0.064)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(0.065)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(0.061)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1.478***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(0.234)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Lev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1.291***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(0.136)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Size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0.491***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TobinQ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0.967***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(0.315)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30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公司固定效应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Observations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33,516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33,430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33,403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29,980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3071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0.757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0.768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0.773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0.800</w:t>
            </w:r>
          </w:p>
        </w:tc>
      </w:tr>
    </w:tbl>
    <w:p/>
    <w:p/>
    <w:p/>
    <w:p>
      <w:r>
        <w:drawing>
          <wp:inline distT="0" distB="0" distL="0" distR="0">
            <wp:extent cx="5243195" cy="3810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2493" cy="388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图A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 xml:space="preserve"> 资管新规影响企业借款规模的动态效应</w:t>
      </w: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drawing>
          <wp:inline distT="0" distB="0" distL="0" distR="0">
            <wp:extent cx="4852035" cy="3525520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0748" cy="358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图A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 xml:space="preserve">2 </w:t>
      </w:r>
      <w:r>
        <w:rPr>
          <w:rFonts w:hint="eastAsia" w:ascii="黑体" w:hAnsi="黑体" w:eastAsia="黑体" w:cs="黑体"/>
          <w:sz w:val="18"/>
          <w:szCs w:val="18"/>
        </w:rPr>
        <w:t>资管新规影响企业债务期限的动态效应</w:t>
      </w:r>
    </w:p>
    <w:p>
      <w:pPr>
        <w:rPr>
          <w:rFonts w:hint="eastAsia"/>
        </w:rPr>
      </w:pPr>
    </w:p>
    <w:p/>
    <w:p>
      <w:pPr>
        <w:jc w:val="center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表A3 资管新规的颁布对企业融资约束的影响</w:t>
      </w:r>
    </w:p>
    <w:tbl>
      <w:tblPr>
        <w:tblStyle w:val="6"/>
        <w:tblW w:w="102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8"/>
        <w:gridCol w:w="1757"/>
        <w:gridCol w:w="1757"/>
        <w:gridCol w:w="1757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168" w:type="dxa"/>
            <w:vMerge w:val="restart"/>
            <w:tcBorders>
              <w:top w:val="single" w:color="auto" w:sz="1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被解释变量</w:t>
            </w:r>
          </w:p>
        </w:tc>
        <w:tc>
          <w:tcPr>
            <w:tcW w:w="1730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(1)</w:t>
            </w:r>
          </w:p>
        </w:tc>
        <w:tc>
          <w:tcPr>
            <w:tcW w:w="1730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(2)</w:t>
            </w:r>
          </w:p>
        </w:tc>
        <w:tc>
          <w:tcPr>
            <w:tcW w:w="1730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(3)</w:t>
            </w:r>
          </w:p>
        </w:tc>
        <w:tc>
          <w:tcPr>
            <w:tcW w:w="1730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vMerge w:val="continue"/>
            <w:tcBorders>
              <w:top w:val="single" w:color="auto" w:sz="12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log Investment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log Investment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log Investment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log Investment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treat × post × CF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0.080**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0.084***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0.078**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0.081***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(0.032)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(0.031)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(0.030)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CF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0.078***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0.062***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0.058***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(0.012)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(0.012)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(0.012)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treat × post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-1.697***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-1.795***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-1.674***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-1.725***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(0.631)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(0.613)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(0.603)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(0.579)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treat × CF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-0.051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-0.050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-0.047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(0.033)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(0.032)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(0.031)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post × CF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0.043***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0.045***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0.043***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0.037***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(0.010)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(0.012)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(0.012)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1.912***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(0.258)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Lev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(0.141)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Size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0.533***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TobinQ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(0.301)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公司固定效应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Observations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27,955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27,891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27,868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26,762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168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0.802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0.813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0.819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0.834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表A4 资管新规的颁布对企业债务期限的影响</w:t>
      </w:r>
    </w:p>
    <w:tbl>
      <w:tblPr>
        <w:tblStyle w:val="6"/>
        <w:tblW w:w="102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066"/>
        <w:gridCol w:w="2066"/>
        <w:gridCol w:w="2066"/>
        <w:gridCol w:w="2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983" w:type="dxa"/>
            <w:vMerge w:val="restart"/>
            <w:tcBorders>
              <w:top w:val="single" w:color="auto" w:sz="1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被解释变量</w:t>
            </w:r>
          </w:p>
        </w:tc>
        <w:tc>
          <w:tcPr>
            <w:tcW w:w="2066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(1)</w:t>
            </w:r>
          </w:p>
        </w:tc>
        <w:tc>
          <w:tcPr>
            <w:tcW w:w="2066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(2)</w:t>
            </w:r>
          </w:p>
        </w:tc>
        <w:tc>
          <w:tcPr>
            <w:tcW w:w="2066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(3)</w:t>
            </w:r>
          </w:p>
        </w:tc>
        <w:tc>
          <w:tcPr>
            <w:tcW w:w="2066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83" w:type="dxa"/>
            <w:vMerge w:val="continue"/>
            <w:tcBorders>
              <w:top w:val="single" w:color="auto" w:sz="12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等线" w:cs="Times New Roman"/>
                        <w:b/>
                        <w:bCs/>
                        <w:i/>
                        <w:iCs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eastAsia="等线" w:cs="Times New Roman"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LongTerm Debt</m:t>
                    </m:r>
                    <m:ctrlPr>
                      <w:rPr>
                        <w:rFonts w:ascii="Cambria Math" w:hAnsi="Cambria Math" w:eastAsia="等线" w:cs="Times New Roman"/>
                        <w:b/>
                        <w:bCs/>
                        <w:i/>
                        <w:iCs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eastAsia="等线" w:cs="Times New Roman"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Total Debt</m:t>
                    </m:r>
                    <m:ctrlPr>
                      <w:rPr>
                        <w:rFonts w:ascii="Cambria Math" w:hAnsi="Cambria Math" w:eastAsia="等线" w:cs="Times New Roman"/>
                        <w:b/>
                        <w:bCs/>
                        <w:i/>
                        <w:iCs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</m:oMath>
            </m:oMathPara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等线" w:cs="Times New Roman"/>
                        <w:b/>
                        <w:bCs/>
                        <w:i/>
                        <w:iCs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eastAsia="等线" w:cs="Times New Roman"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LongTerm Debt</m:t>
                    </m:r>
                    <m:ctrlPr>
                      <w:rPr>
                        <w:rFonts w:ascii="Cambria Math" w:hAnsi="Cambria Math" w:eastAsia="等线" w:cs="Times New Roman"/>
                        <w:b/>
                        <w:bCs/>
                        <w:i/>
                        <w:iCs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eastAsia="等线" w:cs="Times New Roman"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Total Debt</m:t>
                    </m:r>
                    <m:ctrlPr>
                      <w:rPr>
                        <w:rFonts w:ascii="Cambria Math" w:hAnsi="Cambria Math" w:eastAsia="等线" w:cs="Times New Roman"/>
                        <w:b/>
                        <w:bCs/>
                        <w:i/>
                        <w:iCs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</m:oMath>
            </m:oMathPara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等线" w:cs="Times New Roman"/>
                        <w:b/>
                        <w:bCs/>
                        <w:i/>
                        <w:iCs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eastAsia="等线" w:cs="Times New Roman"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LongTerm Debt</m:t>
                    </m:r>
                    <m:ctrlPr>
                      <w:rPr>
                        <w:rFonts w:ascii="Cambria Math" w:hAnsi="Cambria Math" w:eastAsia="等线" w:cs="Times New Roman"/>
                        <w:b/>
                        <w:bCs/>
                        <w:i/>
                        <w:iCs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eastAsia="等线" w:cs="Times New Roman"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Total Debt</m:t>
                    </m:r>
                    <m:ctrlPr>
                      <w:rPr>
                        <w:rFonts w:ascii="Cambria Math" w:hAnsi="Cambria Math" w:eastAsia="等线" w:cs="Times New Roman"/>
                        <w:b/>
                        <w:bCs/>
                        <w:i/>
                        <w:iCs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</m:oMath>
            </m:oMathPara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等线" w:cs="Times New Roman"/>
                        <w:b/>
                        <w:bCs/>
                        <w:i/>
                        <w:iCs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eastAsia="等线" w:cs="Times New Roman"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LongTerm Debt</m:t>
                    </m:r>
                    <m:ctrlPr>
                      <w:rPr>
                        <w:rFonts w:ascii="Cambria Math" w:hAnsi="Cambria Math" w:eastAsia="等线" w:cs="Times New Roman"/>
                        <w:b/>
                        <w:bCs/>
                        <w:i/>
                        <w:iCs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eastAsia="等线" w:cs="Times New Roman"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Total Debt</m:t>
                    </m:r>
                    <m:ctrlPr>
                      <w:rPr>
                        <w:rFonts w:ascii="Cambria Math" w:hAnsi="Cambria Math" w:eastAsia="等线" w:cs="Times New Roman"/>
                        <w:b/>
                        <w:bCs/>
                        <w:i/>
                        <w:iCs/>
                        <w:color w:val="000000" w:themeColor="text1"/>
                        <w:kern w:val="0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</m:oMath>
            </m:oMathPara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treat × post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-0.020***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-0.014**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-0.017**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-0.015**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(0.007)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(0.007)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(0.007)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0.137***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Lev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0.165***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Size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TobinQ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-0.005***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0.084**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公司固定效应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Observations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34,863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34,813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34,759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30,302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983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0.663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0.683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0.689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0.719</w:t>
            </w:r>
          </w:p>
        </w:tc>
      </w:tr>
    </w:tbl>
    <w:p/>
    <w:p>
      <w:pPr>
        <w:rPr>
          <w:rFonts w:hint="eastAsia"/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表A5  异质性检验：银行借款可得性</w:t>
      </w:r>
    </w:p>
    <w:tbl>
      <w:tblPr>
        <w:tblStyle w:val="6"/>
        <w:tblW w:w="102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2930"/>
        <w:gridCol w:w="1455"/>
        <w:gridCol w:w="2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820" w:type="dxa"/>
            <w:vMerge w:val="restart"/>
            <w:tcBorders>
              <w:top w:val="single" w:color="auto" w:sz="1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被解释变量</w:t>
            </w:r>
          </w:p>
        </w:tc>
        <w:tc>
          <w:tcPr>
            <w:tcW w:w="2820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(1)</w:t>
            </w:r>
          </w:p>
        </w:tc>
        <w:tc>
          <w:tcPr>
            <w:tcW w:w="1400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20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20" w:type="dxa"/>
            <w:vMerge w:val="continue"/>
            <w:tcBorders>
              <w:top w:val="single" w:color="auto" w:sz="12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log Investment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log Investment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高银行借款可得性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低银行借款可得性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treat × post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-0.123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-0.274***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(0.081)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(0.097)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2.335***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2.248***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(0.325)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(0.342)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(0.187)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(0.191)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Size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0.510***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0.581***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(0.043)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TobinQ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(0.367)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(0.451)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8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公司固定效应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Observations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18,168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18,391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0.829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系数差异</w:t>
            </w:r>
          </w:p>
        </w:tc>
        <w:tc>
          <w:tcPr>
            <w:tcW w:w="704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20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= 0.000</w:t>
            </w:r>
          </w:p>
        </w:tc>
      </w:tr>
    </w:tbl>
    <w:p/>
    <w:p/>
    <w:p/>
    <w:p/>
    <w:p/>
    <w:p/>
    <w:p/>
    <w:p/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表A6  异质性检验：企业的抵押能力</w:t>
      </w:r>
    </w:p>
    <w:tbl>
      <w:tblPr>
        <w:tblStyle w:val="6"/>
        <w:tblW w:w="102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2373"/>
        <w:gridCol w:w="2373"/>
        <w:gridCol w:w="2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9" w:type="dxa"/>
            <w:vMerge w:val="restart"/>
            <w:tcBorders>
              <w:top w:val="single" w:color="auto" w:sz="1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被解释变量</w:t>
            </w:r>
          </w:p>
        </w:tc>
        <w:tc>
          <w:tcPr>
            <w:tcW w:w="2284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(1)</w:t>
            </w:r>
          </w:p>
        </w:tc>
        <w:tc>
          <w:tcPr>
            <w:tcW w:w="2284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84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009" w:type="dxa"/>
            <w:vMerge w:val="continue"/>
            <w:tcBorders>
              <w:top w:val="single" w:color="auto" w:sz="12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log Investment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log Investment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高抵押能力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低抵押能力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treat × post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-0.134*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-0.245**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(0.068)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(0.115)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2.903***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1.856***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(0.337)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(0.307)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Lev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-0.265*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(0.160)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(0.191)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Size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0.502***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0.558***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(0.043)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TobinQ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0.050***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-0.023*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(0.015)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-0.465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(0.355)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(0.446)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公司固定效应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Observations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19,796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18,871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0.793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系数差异</w:t>
            </w: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00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ascii="Times New Roman" w:hAnsi="Times New Roman" w:eastAsia="仿宋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6852" w:type="dxa"/>
            <w:gridSpan w:val="3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= 0.010</w:t>
            </w:r>
          </w:p>
        </w:tc>
      </w:tr>
    </w:tbl>
    <w:p/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表A7  异质性检验：现金持有水平</w:t>
      </w:r>
    </w:p>
    <w:tbl>
      <w:tblPr>
        <w:tblStyle w:val="6"/>
        <w:tblW w:w="102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2649"/>
        <w:gridCol w:w="1788"/>
        <w:gridCol w:w="2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153" w:type="dxa"/>
            <w:vMerge w:val="restart"/>
            <w:tcBorders>
              <w:top w:val="single" w:color="auto" w:sz="1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被解释变量</w:t>
            </w:r>
          </w:p>
        </w:tc>
        <w:tc>
          <w:tcPr>
            <w:tcW w:w="2549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(1)</w:t>
            </w:r>
          </w:p>
        </w:tc>
        <w:tc>
          <w:tcPr>
            <w:tcW w:w="1721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53" w:type="dxa"/>
            <w:vMerge w:val="continue"/>
            <w:tcBorders>
              <w:top w:val="single" w:color="auto" w:sz="12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log Investment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log Investment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高现金持有水平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低现金持有水平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treat × post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-0.133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-0.208***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(0.092)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1.854***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2.847***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(0.310)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(0.330)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Lev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-0.009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(0.194)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(0.170)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Size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0.513***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0.577***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(0.044)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TobinQ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-0.010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(0.014)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0.278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(0.396)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(0.391)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公司固定效应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半年度固定效应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Observations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19,178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19,534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0.788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系数差异</w:t>
            </w:r>
          </w:p>
        </w:tc>
        <w:tc>
          <w:tcPr>
            <w:tcW w:w="670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153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6708" w:type="dxa"/>
            <w:gridSpan w:val="3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= 0.060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-1" w:firstLine="0"/>
        <w:textAlignment w:val="auto"/>
        <w:rPr>
          <w:rFonts w:ascii="宋体" w:hAnsi="宋体" w:cs="Arial"/>
          <w:b/>
          <w:bCs/>
          <w:color w:val="auto"/>
          <w:kern w:val="0"/>
          <w:szCs w:val="21"/>
        </w:rPr>
      </w:pPr>
      <w:r>
        <w:rPr>
          <w:rFonts w:hint="eastAsia" w:ascii="Calibri" w:hAnsi="Calibri" w:cs="Times New Roman"/>
          <w:b/>
          <w:color w:val="auto"/>
          <w:szCs w:val="22"/>
        </w:rPr>
        <w:t>注：该附录是期刊所发表论文的组成部分，同样视为作者公开发表的内容。如研究中使用该附录中的内容，</w:t>
      </w:r>
      <w:r>
        <w:rPr>
          <w:rFonts w:hint="eastAsia" w:ascii="宋体" w:hAnsi="宋体" w:cs="Arial"/>
          <w:b/>
          <w:bCs/>
          <w:color w:val="auto"/>
          <w:kern w:val="0"/>
          <w:szCs w:val="21"/>
        </w:rPr>
        <w:t>请务必在研究成果上注明</w:t>
      </w:r>
      <w:r>
        <w:rPr>
          <w:rFonts w:hint="eastAsia" w:ascii="宋体" w:hAnsi="宋体" w:cs="Arial"/>
          <w:b/>
          <w:bCs/>
          <w:color w:val="auto"/>
          <w:kern w:val="0"/>
          <w:szCs w:val="21"/>
          <w:lang w:val="en-US" w:eastAsia="zh-CN"/>
        </w:rPr>
        <w:t>附录</w:t>
      </w:r>
      <w:r>
        <w:rPr>
          <w:rFonts w:hint="eastAsia" w:ascii="宋体" w:hAnsi="宋体" w:cs="Arial"/>
          <w:b/>
          <w:bCs/>
          <w:color w:val="auto"/>
          <w:kern w:val="0"/>
          <w:szCs w:val="21"/>
        </w:rPr>
        <w:t>下载出处</w:t>
      </w:r>
      <w:r>
        <w:rPr>
          <w:rFonts w:hint="eastAsia" w:ascii="宋体" w:hAnsi="宋体" w:cs="Arial"/>
          <w:color w:val="auto"/>
          <w:kern w:val="0"/>
          <w:szCs w:val="21"/>
        </w:rPr>
        <w:t>。</w:t>
      </w:r>
    </w:p>
    <w:p>
      <w:pPr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" w:hAnsi="仿宋" w:eastAsia="仿宋" w:cs="仿宋"/>
        <w:lang w:val="en-US" w:eastAsia="zh-CN"/>
      </w:rPr>
    </w:pPr>
    <w:r>
      <w:rPr>
        <w:rFonts w:hint="eastAsia" w:ascii="仿宋" w:hAnsi="仿宋" w:eastAsia="仿宋" w:cs="仿宋"/>
        <w:lang w:eastAsia="zh-CN"/>
      </w:rPr>
      <w:t>《</w:t>
    </w:r>
    <w:r>
      <w:rPr>
        <w:rFonts w:hint="eastAsia" w:ascii="仿宋" w:hAnsi="仿宋" w:eastAsia="仿宋" w:cs="仿宋"/>
        <w:lang w:val="en-US" w:eastAsia="zh-CN"/>
      </w:rPr>
      <w:t>经济学</w:t>
    </w:r>
    <w:r>
      <w:rPr>
        <w:rFonts w:hint="eastAsia" w:ascii="仿宋" w:hAnsi="仿宋" w:eastAsia="仿宋" w:cs="仿宋"/>
        <w:lang w:eastAsia="zh-CN"/>
      </w:rPr>
      <w:t>》（</w:t>
    </w:r>
    <w:r>
      <w:rPr>
        <w:rFonts w:hint="eastAsia" w:ascii="仿宋" w:hAnsi="仿宋" w:eastAsia="仿宋" w:cs="仿宋"/>
        <w:lang w:val="en-US" w:eastAsia="zh-CN"/>
      </w:rPr>
      <w:t>季刊</w:t>
    </w:r>
    <w:r>
      <w:rPr>
        <w:rFonts w:hint="eastAsia" w:ascii="仿宋" w:hAnsi="仿宋" w:eastAsia="仿宋" w:cs="仿宋"/>
        <w:lang w:eastAsia="zh-CN"/>
      </w:rPr>
      <w:t>）</w:t>
    </w:r>
    <w:r>
      <w:rPr>
        <w:rFonts w:hint="eastAsia" w:ascii="仿宋" w:hAnsi="仿宋" w:eastAsia="仿宋" w:cs="仿宋"/>
        <w:lang w:val="en-US" w:eastAsia="zh-CN"/>
      </w:rPr>
      <w:t xml:space="preserve">                                                             2024年第2期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xNWZhMmRiMTY5YWI4NjAwOTAyNmUyMjJkNDE2NTcifQ=="/>
  </w:docVars>
  <w:rsids>
    <w:rsidRoot w:val="00E601A9"/>
    <w:rsid w:val="001E339E"/>
    <w:rsid w:val="002D52E1"/>
    <w:rsid w:val="002F061E"/>
    <w:rsid w:val="00694CB6"/>
    <w:rsid w:val="006E2BDC"/>
    <w:rsid w:val="006F7A4C"/>
    <w:rsid w:val="00943950"/>
    <w:rsid w:val="009F322C"/>
    <w:rsid w:val="00BF2B8D"/>
    <w:rsid w:val="00C57F81"/>
    <w:rsid w:val="00D0232A"/>
    <w:rsid w:val="00DA358F"/>
    <w:rsid w:val="00E601A9"/>
    <w:rsid w:val="00EA2C20"/>
    <w:rsid w:val="00F65AEC"/>
    <w:rsid w:val="012810B4"/>
    <w:rsid w:val="13737F6D"/>
    <w:rsid w:val="2A236BA1"/>
    <w:rsid w:val="37CE7B70"/>
    <w:rsid w:val="3B4B164C"/>
    <w:rsid w:val="43870F88"/>
    <w:rsid w:val="57C1347D"/>
    <w:rsid w:val="5C59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632</Words>
  <Characters>3609</Characters>
  <Lines>30</Lines>
  <Paragraphs>8</Paragraphs>
  <TotalTime>1</TotalTime>
  <ScaleCrop>false</ScaleCrop>
  <LinksUpToDate>false</LinksUpToDate>
  <CharactersWithSpaces>4233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2024-02-19T04:51:00Z</dcterms:created>
  <dc:creator>叶耐德</dc:creator>
  <cp:lastModifiedBy>刘京</cp:lastModifiedBy>
  <dcterms:modified xsi:type="dcterms:W3CDTF">2024-03-18T04:27:38Z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94727BA0603C4BF4BC0FE3C0020227E3_12</vt:lpwstr>
  </property>
</Properties>
</file>