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Times New Roman" w:hAnsi="Times New Roman" w:eastAsia="仿宋" w:cs="Times New Roman"/>
          <w:b/>
          <w:kern w:val="44"/>
          <w:sz w:val="32"/>
          <w:szCs w:val="32"/>
          <w:lang w:eastAsia="zh-CN"/>
        </w:rPr>
      </w:pPr>
      <w:bookmarkStart w:id="0" w:name="_Toc30610"/>
      <w:bookmarkStart w:id="1" w:name="_Toc3566"/>
      <w:bookmarkStart w:id="2" w:name="_Toc24574"/>
    </w:p>
    <w:p>
      <w:pPr>
        <w:jc w:val="center"/>
        <w:outlineLvl w:val="0"/>
        <w:rPr>
          <w:rFonts w:ascii="Times New Roman" w:hAnsi="Times New Roman" w:eastAsia="仿宋" w:cs="Times New Roman"/>
          <w:b/>
          <w:kern w:val="44"/>
          <w:sz w:val="32"/>
          <w:szCs w:val="32"/>
        </w:rPr>
      </w:pPr>
      <w:bookmarkStart w:id="3" w:name="_Toc24178"/>
      <w:r>
        <w:rPr>
          <w:rFonts w:hint="eastAsia" w:ascii="Times New Roman" w:hAnsi="Times New Roman" w:eastAsia="仿宋" w:cs="Times New Roman"/>
          <w:b/>
          <w:kern w:val="44"/>
          <w:sz w:val="32"/>
          <w:szCs w:val="32"/>
          <w:lang w:eastAsia="zh-CN"/>
        </w:rPr>
        <w:t>何以为家：儿童大病医疗与消失的孤儿</w:t>
      </w:r>
      <w:bookmarkEnd w:id="0"/>
      <w:bookmarkEnd w:id="1"/>
      <w:bookmarkEnd w:id="2"/>
      <w:bookmarkEnd w:id="3"/>
    </w:p>
    <w:p>
      <w:pPr>
        <w:spacing w:line="360" w:lineRule="auto"/>
        <w:rPr>
          <w:rFonts w:hint="eastAsia" w:ascii="楷体" w:hAnsi="楷体" w:eastAsia="楷体" w:cs="Times New Roman"/>
          <w:color w:val="000000" w:themeColor="text1"/>
          <w:sz w:val="24"/>
          <w:szCs w:val="24"/>
          <w14:textFill>
            <w14:solidFill>
              <w14:schemeClr w14:val="tx1"/>
            </w14:solidFill>
          </w14:textFill>
        </w:rPr>
      </w:pPr>
    </w:p>
    <w:p>
      <w:pPr>
        <w:spacing w:line="360" w:lineRule="auto"/>
        <w:jc w:val="center"/>
        <w:rPr>
          <w:rFonts w:hint="eastAsia" w:ascii="楷体" w:hAnsi="楷体" w:eastAsia="楷体" w:cs="楷体"/>
          <w:sz w:val="32"/>
          <w:szCs w:val="40"/>
          <w:lang w:eastAsia="zh-CN"/>
        </w:rPr>
      </w:pPr>
      <w:r>
        <w:rPr>
          <w:rFonts w:hint="eastAsia" w:ascii="楷体" w:hAnsi="楷体" w:eastAsia="楷体" w:cs="Times New Roman"/>
          <w:color w:val="000000" w:themeColor="text1"/>
          <w:sz w:val="28"/>
          <w:szCs w:val="28"/>
          <w:lang w:eastAsia="zh-CN"/>
          <w14:textFill>
            <w14:solidFill>
              <w14:schemeClr w14:val="tx1"/>
            </w14:solidFill>
          </w14:textFill>
        </w:rPr>
        <w:t>赵仁杰</w:t>
      </w:r>
      <w:r>
        <w:rPr>
          <w:rFonts w:hint="eastAsia" w:ascii="楷体" w:hAnsi="楷体" w:eastAsia="楷体" w:cs="Times New Roman"/>
          <w:color w:val="000000" w:themeColor="text1"/>
          <w:sz w:val="28"/>
          <w:szCs w:val="28"/>
          <w14:textFill>
            <w14:solidFill>
              <w14:schemeClr w14:val="tx1"/>
            </w14:solidFill>
          </w14:textFill>
        </w:rPr>
        <w:t xml:space="preserve">  </w:t>
      </w:r>
      <w:r>
        <w:rPr>
          <w:rFonts w:hint="eastAsia" w:ascii="楷体" w:hAnsi="楷体" w:eastAsia="楷体" w:cs="Times New Roman"/>
          <w:color w:val="000000" w:themeColor="text1"/>
          <w:sz w:val="28"/>
          <w:szCs w:val="28"/>
          <w:lang w:eastAsia="zh-CN"/>
          <w14:textFill>
            <w14:solidFill>
              <w14:schemeClr w14:val="tx1"/>
            </w14:solidFill>
          </w14:textFill>
        </w:rPr>
        <w:t>钟世虎</w:t>
      </w:r>
      <w:r>
        <w:rPr>
          <w:rFonts w:hint="eastAsia" w:ascii="楷体" w:hAnsi="楷体" w:eastAsia="楷体" w:cs="Times New Roman"/>
          <w:color w:val="000000" w:themeColor="text1"/>
          <w:sz w:val="28"/>
          <w:szCs w:val="28"/>
          <w14:textFill>
            <w14:solidFill>
              <w14:schemeClr w14:val="tx1"/>
            </w14:solidFill>
          </w14:textFill>
        </w:rPr>
        <w:t xml:space="preserve">  </w:t>
      </w:r>
      <w:r>
        <w:rPr>
          <w:rFonts w:hint="eastAsia" w:ascii="楷体" w:hAnsi="楷体" w:eastAsia="楷体" w:cs="Times New Roman"/>
          <w:color w:val="000000" w:themeColor="text1"/>
          <w:sz w:val="28"/>
          <w:szCs w:val="28"/>
          <w:lang w:eastAsia="zh-CN"/>
          <w14:textFill>
            <w14:solidFill>
              <w14:schemeClr w14:val="tx1"/>
            </w14:solidFill>
          </w14:textFill>
        </w:rPr>
        <w:t>亢延锟</w:t>
      </w:r>
    </w:p>
    <w:p>
      <w:pPr>
        <w:pStyle w:val="5"/>
        <w:jc w:val="center"/>
        <w:rPr>
          <w:rFonts w:hint="eastAsia" w:ascii="仿宋" w:hAnsi="仿宋" w:eastAsia="仿宋" w:cs="仿宋"/>
          <w:b/>
          <w:bCs/>
          <w:sz w:val="28"/>
          <w:szCs w:val="28"/>
          <w:lang w:val="en-US" w:eastAsia="zh-CN"/>
        </w:rPr>
      </w:pPr>
    </w:p>
    <w:p>
      <w:pPr>
        <w:jc w:val="cente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目录</w:t>
      </w:r>
    </w:p>
    <w:sdt>
      <w:sdtPr>
        <w:rPr>
          <w:rFonts w:ascii="宋体" w:hAnsi="宋体" w:eastAsia="宋体"/>
        </w:rPr>
        <w:id w:val="147461002"/>
        <w15:color w:val="DBDBDB"/>
        <w:docPartObj>
          <w:docPartGallery w:val="Table of Contents"/>
          <w:docPartUnique/>
        </w:docPartObj>
      </w:sdtPr>
      <w:sdtEndPr>
        <w:rPr>
          <w:rFonts w:hint="eastAsia" w:ascii="楷体" w:hAnsi="楷体" w:eastAsia="楷体" w:cs="楷体"/>
          <w:szCs w:val="40"/>
        </w:rPr>
      </w:sdtEndPr>
      <w:sdtContent>
        <w:p>
          <w:pPr>
            <w:jc w:val="center"/>
          </w:pPr>
        </w:p>
        <w:p>
          <w:pPr>
            <w:pStyle w:val="9"/>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TOC \o "1-1" \h \u </w:instrText>
          </w:r>
          <w:r>
            <w:rPr>
              <w:rFonts w:hint="eastAsia" w:ascii="仿宋" w:hAnsi="仿宋" w:eastAsia="仿宋" w:cs="仿宋"/>
              <w:sz w:val="22"/>
              <w:szCs w:val="22"/>
            </w:rPr>
            <w:fldChar w:fldCharType="separate"/>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_Toc28589 </w:instrText>
          </w:r>
          <w:r>
            <w:rPr>
              <w:rFonts w:hint="eastAsia" w:ascii="仿宋" w:hAnsi="仿宋" w:eastAsia="仿宋" w:cs="仿宋"/>
              <w:sz w:val="22"/>
              <w:szCs w:val="22"/>
            </w:rPr>
            <w:fldChar w:fldCharType="separate"/>
          </w:r>
          <w:r>
            <w:rPr>
              <w:rFonts w:hint="eastAsia" w:ascii="仿宋" w:hAnsi="仿宋" w:eastAsia="仿宋" w:cs="仿宋"/>
              <w:bCs/>
              <w:sz w:val="22"/>
              <w:szCs w:val="22"/>
            </w:rPr>
            <w:t xml:space="preserve">附录Ⅰ </w:t>
          </w:r>
          <w:r>
            <w:rPr>
              <w:rFonts w:hint="eastAsia" w:ascii="仿宋" w:hAnsi="仿宋" w:eastAsia="仿宋" w:cs="仿宋"/>
              <w:bCs/>
              <w:sz w:val="22"/>
              <w:szCs w:val="22"/>
              <w:lang w:eastAsia="zh-CN"/>
            </w:rPr>
            <w:t>各省份政策实施基本情况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_Toc28589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_Toc16679 </w:instrText>
          </w:r>
          <w:r>
            <w:rPr>
              <w:rFonts w:hint="eastAsia" w:ascii="仿宋" w:hAnsi="仿宋" w:eastAsia="仿宋" w:cs="仿宋"/>
              <w:sz w:val="22"/>
              <w:szCs w:val="22"/>
            </w:rPr>
            <w:fldChar w:fldCharType="separate"/>
          </w:r>
          <w:r>
            <w:rPr>
              <w:rFonts w:hint="eastAsia" w:ascii="仿宋" w:hAnsi="仿宋" w:eastAsia="仿宋" w:cs="仿宋"/>
              <w:bCs/>
              <w:sz w:val="22"/>
              <w:szCs w:val="22"/>
            </w:rPr>
            <w:t>附录Ⅱ 1000次置换检验</w:t>
          </w:r>
          <w:r>
            <w:rPr>
              <w:rFonts w:hint="eastAsia" w:ascii="仿宋" w:hAnsi="仿宋" w:eastAsia="仿宋" w:cs="仿宋"/>
              <w:bCs/>
              <w:sz w:val="22"/>
              <w:szCs w:val="22"/>
              <w:lang w:eastAsia="zh-CN"/>
            </w:rPr>
            <w:t>估计结果</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_Toc16679 \h </w:instrText>
          </w:r>
          <w:r>
            <w:rPr>
              <w:rFonts w:hint="eastAsia" w:ascii="仿宋" w:hAnsi="仿宋" w:eastAsia="仿宋" w:cs="仿宋"/>
              <w:sz w:val="22"/>
              <w:szCs w:val="22"/>
            </w:rPr>
            <w:fldChar w:fldCharType="separate"/>
          </w:r>
          <w:r>
            <w:rPr>
              <w:rFonts w:hint="eastAsia" w:ascii="仿宋" w:hAnsi="仿宋" w:eastAsia="仿宋" w:cs="仿宋"/>
              <w:sz w:val="22"/>
              <w:szCs w:val="22"/>
            </w:rPr>
            <w:t>5</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tabs>
              <w:tab w:val="right" w:leader="dot" w:pos="8306"/>
            </w:tabs>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_Toc7853 </w:instrText>
          </w:r>
          <w:r>
            <w:rPr>
              <w:rFonts w:hint="eastAsia" w:ascii="仿宋" w:hAnsi="仿宋" w:eastAsia="仿宋" w:cs="仿宋"/>
              <w:sz w:val="22"/>
              <w:szCs w:val="22"/>
            </w:rPr>
            <w:fldChar w:fldCharType="separate"/>
          </w:r>
          <w:r>
            <w:rPr>
              <w:rFonts w:hint="eastAsia" w:ascii="仿宋" w:hAnsi="仿宋" w:eastAsia="仿宋" w:cs="仿宋"/>
              <w:bCs/>
              <w:sz w:val="22"/>
              <w:szCs w:val="22"/>
            </w:rPr>
            <w:t>附录Ⅲ 稳健性检验</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_Toc7853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5"/>
            <w:ind w:firstLine="440" w:firstLineChars="200"/>
            <w:jc w:val="both"/>
            <w:rPr>
              <w:rFonts w:ascii="楷体" w:hAnsi="楷体" w:eastAsia="楷体" w:cs="楷体"/>
              <w:sz w:val="32"/>
              <w:szCs w:val="40"/>
            </w:rPr>
          </w:pPr>
          <w:r>
            <w:rPr>
              <w:rFonts w:hint="eastAsia" w:ascii="仿宋" w:hAnsi="仿宋" w:eastAsia="仿宋" w:cs="仿宋"/>
              <w:sz w:val="22"/>
              <w:szCs w:val="22"/>
            </w:rPr>
            <w:fldChar w:fldCharType="end"/>
          </w:r>
        </w:p>
      </w:sdtContent>
    </w:sdt>
    <w:p>
      <w:pPr>
        <w:pStyle w:val="5"/>
        <w:ind w:firstLine="640" w:firstLineChars="200"/>
        <w:jc w:val="both"/>
        <w:rPr>
          <w:rFonts w:ascii="楷体" w:hAnsi="楷体" w:eastAsia="楷体" w:cs="楷体"/>
          <w:sz w:val="32"/>
          <w:szCs w:val="40"/>
        </w:rPr>
      </w:pPr>
    </w:p>
    <w:p>
      <w:pPr>
        <w:pStyle w:val="5"/>
        <w:ind w:firstLine="640" w:firstLineChars="200"/>
        <w:jc w:val="both"/>
        <w:rPr>
          <w:rFonts w:ascii="楷体" w:hAnsi="楷体" w:eastAsia="楷体" w:cs="楷体"/>
          <w:sz w:val="32"/>
          <w:szCs w:val="40"/>
        </w:rPr>
      </w:pPr>
    </w:p>
    <w:p>
      <w:pPr>
        <w:pStyle w:val="5"/>
        <w:ind w:firstLine="640" w:firstLineChars="200"/>
        <w:jc w:val="both"/>
        <w:rPr>
          <w:rFonts w:ascii="楷体" w:hAnsi="楷体" w:eastAsia="楷体" w:cs="楷体"/>
          <w:sz w:val="32"/>
          <w:szCs w:val="40"/>
        </w:rPr>
      </w:pPr>
    </w:p>
    <w:p>
      <w:pPr>
        <w:pStyle w:val="5"/>
        <w:ind w:firstLine="640" w:firstLineChars="200"/>
        <w:jc w:val="both"/>
        <w:rPr>
          <w:rFonts w:ascii="楷体" w:hAnsi="楷体" w:eastAsia="楷体" w:cs="楷体"/>
          <w:sz w:val="32"/>
          <w:szCs w:val="40"/>
        </w:rPr>
      </w:pPr>
    </w:p>
    <w:p>
      <w:pPr>
        <w:pStyle w:val="5"/>
        <w:ind w:firstLine="640" w:firstLineChars="200"/>
        <w:jc w:val="both"/>
        <w:rPr>
          <w:rFonts w:ascii="楷体" w:hAnsi="楷体" w:eastAsia="楷体" w:cs="楷体"/>
          <w:sz w:val="32"/>
          <w:szCs w:val="40"/>
        </w:rPr>
      </w:pPr>
    </w:p>
    <w:p>
      <w:pPr>
        <w:pStyle w:val="5"/>
        <w:ind w:firstLine="640" w:firstLineChars="200"/>
        <w:jc w:val="both"/>
        <w:rPr>
          <w:rFonts w:ascii="楷体" w:hAnsi="楷体" w:eastAsia="楷体" w:cs="楷体"/>
          <w:sz w:val="32"/>
          <w:szCs w:val="40"/>
        </w:rPr>
      </w:pPr>
    </w:p>
    <w:p>
      <w:pPr>
        <w:pStyle w:val="2"/>
        <w:spacing w:before="0" w:after="0" w:line="480" w:lineRule="auto"/>
        <w:rPr>
          <w:rFonts w:hint="eastAsia"/>
          <w:sz w:val="24"/>
          <w:szCs w:val="24"/>
        </w:rPr>
        <w:sectPr>
          <w:headerReference r:id="rId3" w:type="default"/>
          <w:pgSz w:w="11906" w:h="16838"/>
          <w:pgMar w:top="1440" w:right="1800" w:bottom="1440" w:left="1800" w:header="851" w:footer="992" w:gutter="0"/>
          <w:cols w:space="425" w:num="1"/>
          <w:docGrid w:type="lines" w:linePitch="312" w:charSpace="0"/>
        </w:sectPr>
      </w:pPr>
      <w:bookmarkStart w:id="4" w:name="_Toc13801"/>
    </w:p>
    <w:p>
      <w:pPr>
        <w:pStyle w:val="2"/>
        <w:spacing w:before="0" w:after="0" w:line="480" w:lineRule="auto"/>
        <w:jc w:val="center"/>
        <w:rPr>
          <w:rFonts w:hint="eastAsia" w:ascii="楷体" w:hAnsi="楷体" w:eastAsia="楷体" w:cs="楷体"/>
          <w:b w:val="0"/>
          <w:bCs/>
          <w:sz w:val="28"/>
          <w:szCs w:val="28"/>
          <w:lang w:eastAsia="zh-CN"/>
        </w:rPr>
      </w:pPr>
      <w:bookmarkStart w:id="5" w:name="_Toc28589"/>
      <w:r>
        <w:rPr>
          <w:rFonts w:hint="eastAsia" w:ascii="楷体" w:hAnsi="楷体" w:eastAsia="楷体" w:cs="楷体"/>
          <w:b w:val="0"/>
          <w:bCs/>
          <w:sz w:val="28"/>
          <w:szCs w:val="28"/>
        </w:rPr>
        <w:t>附录</w:t>
      </w:r>
      <w:r>
        <w:rPr>
          <w:rFonts w:hint="default" w:ascii="Times New Roman" w:hAnsi="Times New Roman" w:eastAsia="楷体" w:cs="Times New Roman"/>
          <w:b w:val="0"/>
          <w:bCs/>
          <w:sz w:val="28"/>
          <w:szCs w:val="28"/>
        </w:rPr>
        <w:t xml:space="preserve">Ⅰ </w:t>
      </w:r>
      <w:bookmarkEnd w:id="4"/>
      <w:r>
        <w:rPr>
          <w:rFonts w:hint="default" w:ascii="Times New Roman" w:hAnsi="Times New Roman" w:eastAsia="楷体" w:cs="Times New Roman"/>
          <w:b w:val="0"/>
          <w:bCs/>
          <w:sz w:val="28"/>
          <w:szCs w:val="28"/>
        </w:rPr>
        <w:t xml:space="preserve"> </w:t>
      </w:r>
      <w:r>
        <w:rPr>
          <w:rFonts w:hint="eastAsia" w:ascii="楷体" w:hAnsi="楷体" w:eastAsia="楷体" w:cs="楷体"/>
          <w:b w:val="0"/>
          <w:bCs/>
          <w:sz w:val="28"/>
          <w:szCs w:val="28"/>
          <w:lang w:eastAsia="zh-CN"/>
        </w:rPr>
        <w:t>各省份政策实施基本情况</w:t>
      </w:r>
      <w:bookmarkEnd w:id="5"/>
    </w:p>
    <w:p>
      <w:pPr>
        <w:ind w:firstLine="420" w:firstLineChars="200"/>
        <w:rPr>
          <w:rFonts w:hint="eastAsia"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表Ⅰ1</w:t>
      </w:r>
      <w:r>
        <w:rPr>
          <w:rFonts w:hint="eastAsia" w:ascii="Times New Roman" w:hAnsi="Times New Roman" w:eastAsia="仿宋" w:cs="Times New Roman"/>
          <w:color w:val="000000" w:themeColor="text1"/>
          <w:lang w:eastAsia="zh-CN"/>
          <w14:textFill>
            <w14:solidFill>
              <w14:schemeClr w14:val="tx1"/>
            </w14:solidFill>
          </w14:textFill>
        </w:rPr>
        <w:t>呈现</w:t>
      </w:r>
      <w:r>
        <w:rPr>
          <w:rFonts w:hint="eastAsia" w:ascii="Times New Roman" w:hAnsi="Times New Roman" w:eastAsia="仿宋" w:cs="Times New Roman"/>
          <w:color w:val="000000" w:themeColor="text1"/>
          <w14:textFill>
            <w14:solidFill>
              <w14:schemeClr w14:val="tx1"/>
            </w14:solidFill>
          </w14:textFill>
        </w:rPr>
        <w:t>了</w:t>
      </w:r>
      <w:r>
        <w:rPr>
          <w:rFonts w:hint="eastAsia" w:ascii="Times New Roman" w:hAnsi="Times New Roman" w:eastAsia="仿宋" w:cs="Times New Roman"/>
          <w:color w:val="000000" w:themeColor="text1"/>
          <w:lang w:eastAsia="zh-CN"/>
          <w14:textFill>
            <w14:solidFill>
              <w14:schemeClr w14:val="tx1"/>
            </w14:solidFill>
          </w14:textFill>
        </w:rPr>
        <w:t>各省份儿童大病医疗保障政策的基本实施情况和政策指标来源</w:t>
      </w:r>
      <w:r>
        <w:rPr>
          <w:rFonts w:hint="eastAsia" w:ascii="Times New Roman" w:hAnsi="Times New Roman" w:eastAsia="仿宋"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402" w:firstLineChars="200"/>
        <w:jc w:val="center"/>
        <w:textAlignment w:val="auto"/>
        <w:rPr>
          <w:rFonts w:hint="eastAsia" w:ascii="Times New Roman" w:hAnsi="Times New Roman" w:eastAsia="仿宋" w:cs="Times New Roman"/>
          <w:b w:val="0"/>
          <w:bCs w:val="0"/>
          <w:color w:val="0000FF"/>
          <w:kern w:val="0"/>
          <w:sz w:val="21"/>
          <w:szCs w:val="21"/>
          <w:lang w:val="en-US" w:eastAsia="zh-CN" w:bidi="ar-SA"/>
        </w:rPr>
      </w:pPr>
      <w:r>
        <w:rPr>
          <w:rFonts w:hint="eastAsia" w:ascii="宋体" w:hAnsi="宋体" w:eastAsia="宋体" w:cs="宋体"/>
          <w:b/>
          <w:bCs/>
          <w:color w:val="000000" w:themeColor="text1"/>
          <w:sz w:val="20"/>
          <w:szCs w:val="20"/>
          <w14:textFill>
            <w14:solidFill>
              <w14:schemeClr w14:val="tx1"/>
            </w14:solidFill>
          </w14:textFill>
        </w:rPr>
        <w:t>表Ⅰ1</w:t>
      </w:r>
      <w:r>
        <w:rPr>
          <w:rFonts w:hint="default" w:ascii="宋体" w:hAnsi="宋体" w:eastAsia="宋体" w:cs="宋体"/>
          <w:b/>
          <w:bCs/>
          <w:color w:val="000000" w:themeColor="text1"/>
          <w:sz w:val="20"/>
          <w:szCs w:val="20"/>
          <w14:textFill>
            <w14:solidFill>
              <w14:schemeClr w14:val="tx1"/>
            </w14:solidFill>
          </w14:textFill>
        </w:rPr>
        <w:t xml:space="preserve"> </w:t>
      </w:r>
      <w:r>
        <w:rPr>
          <w:rFonts w:hint="eastAsia" w:ascii="宋体" w:hAnsi="宋体" w:eastAsia="宋体" w:cs="宋体"/>
          <w:b/>
          <w:bCs/>
          <w:color w:val="auto"/>
          <w:kern w:val="0"/>
          <w:sz w:val="20"/>
          <w:szCs w:val="20"/>
          <w:lang w:val="en-US" w:eastAsia="zh-CN" w:bidi="ar-SA"/>
        </w:rPr>
        <w:t>各省份儿童先天性疾病医疗保障政策试点情况</w:t>
      </w:r>
    </w:p>
    <w:tbl>
      <w:tblPr>
        <w:tblStyle w:val="14"/>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878"/>
        <w:gridCol w:w="659"/>
        <w:gridCol w:w="1768"/>
        <w:gridCol w:w="367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省份</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试点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地区</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推开时间</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试点疾病范围</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政策来源</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获取方式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河南</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11个县（市）</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2011年1月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农村儿童患急性白血病和先心病两类重大疾病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http://www.gov.cn/gzdt/2010-09/24/content_1708809.htm</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公开网站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河北</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2个县</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2011年下半年</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农村儿童先天性心脏病、白血病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河北省卫生厅、省民政厅联合制定出台《开展提高农村儿童重大疾病医疗保障水平试点工作实施方案》</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贵州</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1市1县</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2012年</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农村儿童重大疾病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《贵州省提高农村儿童重大疾病医疗保障水平试点工作实施方案》</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广西</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2县1市</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2012年</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急性白血病和先天性心脏病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《广西提高农村儿童重大疾病医疗保障水平试点工作实施方案》</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内蒙古</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全区农牧区</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2010年</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农牧区儿童先天性心脏病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《内蒙古自治区农村牧区儿童先天性心脏病医疗保障试点实施方案</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福建省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1县2市</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2011年福州市；2013年全省推开</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急性白血病、先天性心脏病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《福建省提高农村儿童白血病和先天性心脏病保障水平试点工作实施方案》</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湖北省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1区1市；所有新农合统筹地区</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2011年7月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所有新农合统筹地区试点先天性心脏病4个病种；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1区1市试点急性淋巴细胞、急性早幼粒细胞白血病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《湖北省开展提高农村儿童重大疾病医疗保障水平试点工作实施方案（试行）》</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湖南省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1市2县；2011年增加3个县</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2011年7月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农村儿童先天性心脏病、白血病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《关于对湖南省农村儿童先心病免费医疗救治试点实施方案》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《湖南省新农合儿童白血病医疗救治试点实施方案》</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8"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山东省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6个县</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2011年扩大到50%以上的县，2013年在全省全面推开</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5类先天性白血病、先天性心脏病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fldChar w:fldCharType="begin"/>
            </w:r>
            <w:r>
              <w:rPr>
                <w:rFonts w:hint="eastAsia" w:ascii="Times New Roman" w:hAnsi="Times New Roman" w:eastAsia="仿宋" w:cs="Times New Roman"/>
                <w:b w:val="0"/>
                <w:bCs w:val="0"/>
                <w:color w:val="auto"/>
                <w:kern w:val="0"/>
                <w:sz w:val="18"/>
                <w:szCs w:val="18"/>
                <w:lang w:val="en-US" w:eastAsia="zh-CN" w:bidi="ar-SA"/>
              </w:rPr>
              <w:instrText xml:space="preserve"> HYPERLINK "http://news.iqilu.com/shandong/yaowen/2010/0816/301139.shtml" </w:instrText>
            </w:r>
            <w:r>
              <w:rPr>
                <w:rFonts w:hint="eastAsia" w:ascii="Times New Roman" w:hAnsi="Times New Roman" w:eastAsia="仿宋" w:cs="Times New Roman"/>
                <w:b w:val="0"/>
                <w:bCs w:val="0"/>
                <w:color w:val="auto"/>
                <w:kern w:val="0"/>
                <w:sz w:val="18"/>
                <w:szCs w:val="18"/>
                <w:lang w:val="en-US" w:eastAsia="zh-CN" w:bidi="ar-SA"/>
              </w:rPr>
              <w:fldChar w:fldCharType="separate"/>
            </w:r>
            <w:r>
              <w:rPr>
                <w:rFonts w:hint="eastAsia" w:ascii="Times New Roman" w:hAnsi="Times New Roman" w:eastAsia="仿宋" w:cs="Times New Roman"/>
                <w:b w:val="0"/>
                <w:bCs w:val="0"/>
                <w:color w:val="auto"/>
                <w:kern w:val="0"/>
                <w:sz w:val="18"/>
                <w:szCs w:val="18"/>
                <w:lang w:val="en-US" w:eastAsia="zh-CN" w:bidi="ar-SA"/>
              </w:rPr>
              <w:t>http://news.iqilu.com/shandong/yaowen/2010/0816/301139.shtml</w:t>
            </w:r>
            <w:r>
              <w:rPr>
                <w:rFonts w:hint="eastAsia" w:ascii="Times New Roman" w:hAnsi="Times New Roman" w:eastAsia="仿宋" w:cs="Times New Roman"/>
                <w:b w:val="0"/>
                <w:bCs w:val="0"/>
                <w:color w:val="auto"/>
                <w:kern w:val="0"/>
                <w:sz w:val="18"/>
                <w:szCs w:val="1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山东开展提高农村儿童重大疾病保障水平试点</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公开网站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广东省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1区1县；2012年4地市</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2013年全省推开</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患急性淋巴细胞白血病等6种重大疾病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http://www.chinadaily.com.cn/dfpd/2010-11/12/content_11540043.htm</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广东提高农村儿童重大疾病医疗保障水平试点启动</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公开网站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江西省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5个地市</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2012年12月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儿童先天性心脏病、白血病、白内障、唇腭裂、尿毒症、重性精神疾病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《江西省儿童白血病、先天性心脏病免费救治试点工作方案》</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安徽省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4个县</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2011年10月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先天性白血病、心脏病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《安徽省重大疾病按病种付费并提高医疗保障水平试点工作实施方案（2010版）》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《安徽省提高农村儿童重大疾病医疗保障水平试点工作实施方案》</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江苏省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14个区县</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2011年4月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先天性房间隔缺损、先天性室间隔缺、先天性动脉导管未闭、先天性肺动脉瓣狭窄</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fldChar w:fldCharType="begin"/>
            </w:r>
            <w:r>
              <w:rPr>
                <w:rFonts w:hint="eastAsia" w:ascii="Times New Roman" w:hAnsi="Times New Roman" w:eastAsia="仿宋" w:cs="Times New Roman"/>
                <w:b w:val="0"/>
                <w:bCs w:val="0"/>
                <w:color w:val="auto"/>
                <w:kern w:val="0"/>
                <w:sz w:val="18"/>
                <w:szCs w:val="18"/>
                <w:lang w:val="en-US" w:eastAsia="zh-CN" w:bidi="ar-SA"/>
              </w:rPr>
              <w:instrText xml:space="preserve"> HYPERLINK "http://www.gov.cn/jrzg/2010-08/17/content_1681738.htm" </w:instrText>
            </w:r>
            <w:r>
              <w:rPr>
                <w:rFonts w:hint="eastAsia" w:ascii="Times New Roman" w:hAnsi="Times New Roman" w:eastAsia="仿宋" w:cs="Times New Roman"/>
                <w:b w:val="0"/>
                <w:bCs w:val="0"/>
                <w:color w:val="auto"/>
                <w:kern w:val="0"/>
                <w:sz w:val="18"/>
                <w:szCs w:val="18"/>
                <w:lang w:val="en-US" w:eastAsia="zh-CN" w:bidi="ar-SA"/>
              </w:rPr>
              <w:fldChar w:fldCharType="separate"/>
            </w:r>
            <w:r>
              <w:rPr>
                <w:rFonts w:hint="eastAsia" w:ascii="Times New Roman" w:hAnsi="Times New Roman" w:eastAsia="仿宋" w:cs="Times New Roman"/>
                <w:b w:val="0"/>
                <w:bCs w:val="0"/>
                <w:color w:val="auto"/>
                <w:kern w:val="0"/>
                <w:sz w:val="18"/>
                <w:szCs w:val="18"/>
                <w:lang w:val="en-US" w:eastAsia="zh-CN" w:bidi="ar-SA"/>
              </w:rPr>
              <w:t>http://www.gov.cn/jrzg/2010-08/17/content_1681738.htm</w:t>
            </w:r>
            <w:r>
              <w:rPr>
                <w:rFonts w:hint="eastAsia" w:ascii="Times New Roman" w:hAnsi="Times New Roman" w:eastAsia="仿宋" w:cs="Times New Roman"/>
                <w:b w:val="0"/>
                <w:bCs w:val="0"/>
                <w:color w:val="auto"/>
                <w:kern w:val="0"/>
                <w:sz w:val="18"/>
                <w:szCs w:val="1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江苏开展农村儿童重大疾病医疗保障水平试点工作</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公开网站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甘肃省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7个县；2012年两个地级市</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2013年</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农村儿童白血病、先天性心脏病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http://gs.cnr.cn/gdxw/201103/t20110311_507777829.html</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《甘肃省卫生厅关于开展提高农村儿童重大疾病医疗保障水平试点工作的意见》</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公开网站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2"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宁夏</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1市1县</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2011年9月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儿童急性淋巴细胞白血病、儿童急性早幼粒细胞白血病、儿童先天性房间隔缺损（手术治疗）、儿童先天性室间隔缺损（手术治疗）、儿童先天性动脉导管未闭（手术治疗）、儿童先天性肺动脉瓣狭窄（手术治疗）</w:t>
            </w:r>
            <w:r>
              <w:rPr>
                <w:rFonts w:hint="default" w:ascii="Times New Roman" w:hAnsi="Times New Roman" w:eastAsia="仿宋" w:cs="Times New Roman"/>
                <w:b w:val="0"/>
                <w:bCs w:val="0"/>
                <w:color w:val="auto"/>
                <w:kern w:val="0"/>
                <w:sz w:val="18"/>
                <w:szCs w:val="18"/>
                <w:lang w:val="en-US" w:eastAsia="zh-CN" w:bidi="ar-SA"/>
              </w:rPr>
              <w:t>６</w:t>
            </w:r>
            <w:r>
              <w:rPr>
                <w:rFonts w:hint="eastAsia" w:ascii="Times New Roman" w:hAnsi="Times New Roman" w:eastAsia="仿宋" w:cs="Times New Roman"/>
                <w:b w:val="0"/>
                <w:bCs w:val="0"/>
                <w:color w:val="auto"/>
                <w:kern w:val="0"/>
                <w:sz w:val="18"/>
                <w:szCs w:val="18"/>
                <w:lang w:val="en-US" w:eastAsia="zh-CN" w:bidi="ar-SA"/>
              </w:rPr>
              <w:t>个病种</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《自治区关于在青铜峡和隆德两市县开展城乡儿童重大疾病医疗保障试点的通知》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《宁夏回族自治区儿童重大疾病医疗保障实施方案》</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新疆</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自治区</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2011年4月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儿童先天性心脏病等3三种疾病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《新疆维吾尔自治区人民政府办公厅关于印发“春苗工程”—自治区儿童先天性心脏病医疗救治项目实施方案的通知》</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四川省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175个新农合县（市、区）</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2010年12月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儿童白血病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http://www.ayfoundation.org/cn/article/65/1315</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《四川省开展提高农村儿童白血病医疗保障水平试点工作实施方案的通知》</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公开网站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重庆市</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全市</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2010年9月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急性淋巴细胞白血病、急性早幼粒细胞白血病和先天性心脏病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重庆市卫生局、市人力社保局、市民政局、市财政局、市红十字会《关于开展儿童重大疾病医疗保障试点工作的实施意见》（渝办发〔2010〕263号）</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云南省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2011年6个县；2012年13县区</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2013年下半年</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儿童白血病和儿童先心病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https://www.163.com/news/article/697ODJ01000146BC.html</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《云南省民政厅关于扩大云南省提高儿童重大疾病医疗保障水平试点工作范围的通知》</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公开网站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黑龙江省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2个县</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2011年9月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急性白血病和先天性心脏病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fldChar w:fldCharType="begin"/>
            </w:r>
            <w:r>
              <w:rPr>
                <w:rFonts w:hint="eastAsia" w:ascii="Times New Roman" w:hAnsi="Times New Roman" w:eastAsia="仿宋" w:cs="Times New Roman"/>
                <w:b w:val="0"/>
                <w:bCs w:val="0"/>
                <w:color w:val="auto"/>
                <w:kern w:val="0"/>
                <w:sz w:val="18"/>
                <w:szCs w:val="18"/>
                <w:lang w:val="en-US" w:eastAsia="zh-CN" w:bidi="ar-SA"/>
              </w:rPr>
              <w:instrText xml:space="preserve"> HYPERLINK "https://epaper.gmw.cn/gmrb/html/2012-02/09/nw.D110000gmrb_20120209_4-01.htm?div=-1" </w:instrText>
            </w:r>
            <w:r>
              <w:rPr>
                <w:rFonts w:hint="eastAsia" w:ascii="Times New Roman" w:hAnsi="Times New Roman" w:eastAsia="仿宋" w:cs="Times New Roman"/>
                <w:b w:val="0"/>
                <w:bCs w:val="0"/>
                <w:color w:val="auto"/>
                <w:kern w:val="0"/>
                <w:sz w:val="18"/>
                <w:szCs w:val="18"/>
                <w:lang w:val="en-US" w:eastAsia="zh-CN" w:bidi="ar-SA"/>
              </w:rPr>
              <w:fldChar w:fldCharType="separate"/>
            </w:r>
            <w:r>
              <w:rPr>
                <w:rFonts w:hint="eastAsia" w:ascii="Times New Roman" w:hAnsi="Times New Roman" w:eastAsia="仿宋" w:cs="Times New Roman"/>
                <w:b w:val="0"/>
                <w:bCs w:val="0"/>
                <w:color w:val="auto"/>
                <w:kern w:val="0"/>
                <w:sz w:val="18"/>
                <w:szCs w:val="18"/>
                <w:lang w:val="en-US" w:eastAsia="zh-CN" w:bidi="ar-SA"/>
              </w:rPr>
              <w:t>https://epaper.gmw.cn/gmrb/html/2012-02/09/nw.D110000gmrb_20120209_4-01.htm?div=-1</w:t>
            </w:r>
            <w:r>
              <w:rPr>
                <w:rFonts w:hint="eastAsia" w:ascii="Times New Roman" w:hAnsi="Times New Roman" w:eastAsia="仿宋" w:cs="Times New Roman"/>
                <w:b w:val="0"/>
                <w:bCs w:val="0"/>
                <w:color w:val="auto"/>
                <w:kern w:val="0"/>
                <w:sz w:val="18"/>
                <w:szCs w:val="1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《黑龙江省贫困地区儿童白血病、先天性心脏病医疗救治实施办法》</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公开网站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浙江省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30个县</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2011年8月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儿童先天性心脏病、白血病等重大儿童疾病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《浙江省提高儿童白血病和先天性心脏病医疗保障水平实施方案（试行）》</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辽宁省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17个县市</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2013年上半年</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急性白血病和儿童先心病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《辽宁省关于提高农村儿童白血病、先天性心脏病保障水平试点工作实施方案》</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吉林省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1市2县</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2011年5月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儿童白血病和儿童先心病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《吉林省关于开展提高农村儿童重大疾病医疗保障水平试点工作的通知》</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青海省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6个县，2011年海南藏族自治州新增试点</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2013年全省推开</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先天性心脏病和急性白血病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《青海省提高农牧区儿童先心病和白血病医疗保障水平试点实施方案》</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陕西省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9个县（区）试点</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2012年11月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儿童白血病和先天性心脏病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《陕西省实施农村儿童白血病、先天性心脏病医疗保障试点工作的通知》</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海南省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11个县（市）试点</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2012年10月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儿童急性白血病和4种儿童先天性心脏病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《海南省提高农村儿童重大疾病医疗保障水平试点工作实施方案（试行）》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《海南省提高农村居民重大疾病医疗保障水平实施方案》</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北京市</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全部地区</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2011年5月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先天性心脏病、白血病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《关于对学生儿童患白血病、先天性心脏病试点病种实行按病种付费有关问题的通知》</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天津市</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全部地区</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2011年1月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先天性心脏病和急性白血病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《天津关于完善残疾人家庭、农村家庭先天性心脏病患儿爱心救助工程的通知》</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安徽省</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10个县（市）</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2012年9月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白血病和先天性心脏病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《安徽省重大疾病按病种付费并提高医疗保障水平试点工作实施方案（2010版）》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《安徽省儿童白血病、先天性心脏病救治试点工作方案》</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上海市</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全部地区</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2011年</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白血病和先天性心脏病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《上海市儿童住院、门诊大病基本医疗保障试行办法》</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56" w:type="dxa"/>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西藏自治区</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全部地区</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2012年5月</w:t>
            </w:r>
          </w:p>
        </w:tc>
        <w:tc>
          <w:tcPr>
            <w:tcW w:w="1768"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先天性心脏病</w:t>
            </w:r>
          </w:p>
        </w:tc>
        <w:tc>
          <w:tcPr>
            <w:tcW w:w="3675"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《西藏自治区儿童先天性心脏病医疗救治工作实施方案》</w:t>
            </w:r>
          </w:p>
        </w:tc>
        <w:tc>
          <w:tcPr>
            <w:tcW w:w="1073" w:type="dxa"/>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Times New Roman"/>
                <w:b w:val="0"/>
                <w:bCs w:val="0"/>
                <w:color w:val="auto"/>
                <w:kern w:val="0"/>
                <w:sz w:val="18"/>
                <w:szCs w:val="18"/>
                <w:lang w:val="en-US" w:eastAsia="zh-CN" w:bidi="ar-SA"/>
              </w:rPr>
            </w:pPr>
            <w:r>
              <w:rPr>
                <w:rFonts w:hint="eastAsia" w:ascii="Times New Roman" w:hAnsi="Times New Roman" w:eastAsia="仿宋" w:cs="Times New Roman"/>
                <w:b w:val="0"/>
                <w:bCs w:val="0"/>
                <w:color w:val="auto"/>
                <w:kern w:val="0"/>
                <w:sz w:val="18"/>
                <w:szCs w:val="18"/>
                <w:lang w:val="en-US" w:eastAsia="zh-CN" w:bidi="ar-SA"/>
              </w:rPr>
              <w:t>政府文件</w:t>
            </w:r>
          </w:p>
        </w:tc>
      </w:tr>
    </w:tbl>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pStyle w:val="2"/>
        <w:spacing w:before="0" w:after="0" w:line="480" w:lineRule="auto"/>
        <w:jc w:val="center"/>
        <w:rPr>
          <w:rFonts w:hint="default" w:ascii="Times New Roman" w:hAnsi="Times New Roman" w:eastAsia="楷体" w:cs="Times New Roman"/>
          <w:b w:val="0"/>
          <w:bCs/>
          <w:sz w:val="28"/>
          <w:szCs w:val="28"/>
          <w:lang w:eastAsia="zh-CN"/>
        </w:rPr>
      </w:pPr>
      <w:bookmarkStart w:id="6" w:name="_Toc5403"/>
      <w:bookmarkStart w:id="7" w:name="_Toc16679"/>
      <w:r>
        <w:rPr>
          <w:rFonts w:hint="default" w:ascii="Times New Roman" w:hAnsi="Times New Roman" w:eastAsia="楷体" w:cs="Times New Roman"/>
          <w:b w:val="0"/>
          <w:bCs/>
          <w:sz w:val="28"/>
          <w:szCs w:val="28"/>
        </w:rPr>
        <w:t xml:space="preserve">附录Ⅱ </w:t>
      </w:r>
      <w:bookmarkEnd w:id="6"/>
      <w:r>
        <w:rPr>
          <w:rFonts w:hint="default" w:ascii="Times New Roman" w:hAnsi="Times New Roman" w:eastAsia="楷体" w:cs="Times New Roman"/>
          <w:b w:val="0"/>
          <w:bCs/>
          <w:sz w:val="28"/>
          <w:szCs w:val="28"/>
        </w:rPr>
        <w:t xml:space="preserve"> 1000次置换检验</w:t>
      </w:r>
      <w:r>
        <w:rPr>
          <w:rFonts w:hint="default" w:ascii="Times New Roman" w:hAnsi="Times New Roman" w:eastAsia="楷体" w:cs="Times New Roman"/>
          <w:b w:val="0"/>
          <w:bCs/>
          <w:sz w:val="28"/>
          <w:szCs w:val="28"/>
          <w:lang w:eastAsia="zh-CN"/>
        </w:rPr>
        <w:t>估计结果</w:t>
      </w:r>
      <w:bookmarkEnd w:id="7"/>
    </w:p>
    <w:p>
      <w:pPr>
        <w:rPr>
          <w:rFonts w:hint="eastAsia" w:ascii="宋体" w:hAnsi="宋体" w:eastAsia="宋体" w:cs="宋体"/>
          <w:b/>
          <w:color w:val="auto"/>
          <w:szCs w:val="22"/>
        </w:rPr>
      </w:pPr>
    </w:p>
    <w:p>
      <w:pPr>
        <w:rPr>
          <w:rFonts w:hint="eastAsia" w:ascii="宋体" w:hAnsi="宋体" w:eastAsia="宋体" w:cs="宋体"/>
          <w:b/>
          <w:color w:val="auto"/>
          <w:szCs w:val="22"/>
        </w:rPr>
      </w:pPr>
      <w:r>
        <w:rPr>
          <w:color w:val="000000" w:themeColor="text1"/>
          <w14:textFill>
            <w14:solidFill>
              <w14:schemeClr w14:val="tx1"/>
            </w14:solidFill>
          </w14:textFill>
        </w:rPr>
        <w:drawing>
          <wp:inline distT="0" distB="0" distL="114300" distR="114300">
            <wp:extent cx="2574290" cy="2484120"/>
            <wp:effectExtent l="0" t="0" r="1270" b="0"/>
            <wp:docPr id="6" name="图片 12"/>
            <wp:cNvGraphicFramePr/>
            <a:graphic xmlns:a="http://schemas.openxmlformats.org/drawingml/2006/main">
              <a:graphicData uri="http://schemas.openxmlformats.org/drawingml/2006/picture">
                <pic:pic xmlns:pic="http://schemas.openxmlformats.org/drawingml/2006/picture">
                  <pic:nvPicPr>
                    <pic:cNvPr id="6" name="图片 12"/>
                    <pic:cNvPicPr/>
                  </pic:nvPicPr>
                  <pic:blipFill>
                    <a:blip r:embed="rId6"/>
                    <a:stretch>
                      <a:fillRect/>
                    </a:stretch>
                  </pic:blipFill>
                  <pic:spPr>
                    <a:xfrm>
                      <a:off x="0" y="0"/>
                      <a:ext cx="2574290" cy="2484120"/>
                    </a:xfrm>
                    <a:prstGeom prst="rect">
                      <a:avLst/>
                    </a:prstGeom>
                    <a:noFill/>
                    <a:ln>
                      <a:noFill/>
                    </a:ln>
                  </pic:spPr>
                </pic:pic>
              </a:graphicData>
            </a:graphic>
          </wp:inline>
        </w:drawing>
      </w:r>
      <w:r>
        <w:rPr>
          <w:color w:val="000000" w:themeColor="text1"/>
          <w14:textFill>
            <w14:solidFill>
              <w14:schemeClr w14:val="tx1"/>
            </w14:solidFill>
          </w14:textFill>
        </w:rPr>
        <w:drawing>
          <wp:inline distT="0" distB="0" distL="114300" distR="114300">
            <wp:extent cx="2574290" cy="2484120"/>
            <wp:effectExtent l="0" t="0" r="1270" b="0"/>
            <wp:docPr id="7" name="图片 13"/>
            <wp:cNvGraphicFramePr/>
            <a:graphic xmlns:a="http://schemas.openxmlformats.org/drawingml/2006/main">
              <a:graphicData uri="http://schemas.openxmlformats.org/drawingml/2006/picture">
                <pic:pic xmlns:pic="http://schemas.openxmlformats.org/drawingml/2006/picture">
                  <pic:nvPicPr>
                    <pic:cNvPr id="7" name="图片 13"/>
                    <pic:cNvPicPr/>
                  </pic:nvPicPr>
                  <pic:blipFill>
                    <a:blip r:embed="rId7"/>
                    <a:stretch>
                      <a:fillRect/>
                    </a:stretch>
                  </pic:blipFill>
                  <pic:spPr>
                    <a:xfrm>
                      <a:off x="0" y="0"/>
                      <a:ext cx="2574290" cy="2484120"/>
                    </a:xfrm>
                    <a:prstGeom prst="rect">
                      <a:avLst/>
                    </a:prstGeom>
                    <a:noFill/>
                    <a:ln>
                      <a:noFill/>
                    </a:ln>
                  </pic:spPr>
                </pic:pic>
              </a:graphicData>
            </a:graphic>
          </wp:inline>
        </w:drawing>
      </w:r>
    </w:p>
    <w:p>
      <w:pP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000000" w:themeColor="text1"/>
          <w:sz w:val="18"/>
          <w:szCs w:val="18"/>
          <w14:textFill>
            <w14:solidFill>
              <w14:schemeClr w14:val="tx1"/>
            </w14:solidFill>
          </w14:textFill>
        </w:rPr>
        <w:t>图Ⅱ1</w:t>
      </w: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 xml:space="preserve"> 儿童大病医疗对孤儿总数1000次回归t值   </w:t>
      </w:r>
      <w:r>
        <w:rPr>
          <w:rFonts w:hint="default" w:ascii="Times New Roman" w:hAnsi="Times New Roman" w:eastAsia="宋体" w:cs="Times New Roman"/>
          <w:b/>
          <w:bCs/>
          <w:color w:val="000000" w:themeColor="text1"/>
          <w:sz w:val="18"/>
          <w:szCs w:val="18"/>
          <w14:textFill>
            <w14:solidFill>
              <w14:schemeClr w14:val="tx1"/>
            </w14:solidFill>
          </w14:textFill>
        </w:rPr>
        <w:t>图Ⅱ</w:t>
      </w: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2 儿童大病医疗对残疾孤儿数1000次回归t值</w:t>
      </w: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pStyle w:val="2"/>
        <w:spacing w:before="0" w:after="0" w:line="480" w:lineRule="auto"/>
        <w:jc w:val="center"/>
        <w:rPr>
          <w:rFonts w:hint="eastAsia" w:ascii="楷体" w:hAnsi="楷体" w:eastAsia="楷体" w:cs="楷体"/>
          <w:b w:val="0"/>
          <w:bCs/>
          <w:sz w:val="28"/>
          <w:szCs w:val="28"/>
        </w:rPr>
      </w:pPr>
      <w:bookmarkStart w:id="8" w:name="_Toc26689"/>
      <w:bookmarkStart w:id="9" w:name="_Toc7853"/>
      <w:bookmarkStart w:id="10" w:name="_GoBack"/>
      <w:r>
        <w:rPr>
          <w:rFonts w:hint="default" w:ascii="Times New Roman" w:hAnsi="Times New Roman" w:eastAsia="楷体" w:cs="Times New Roman"/>
          <w:b w:val="0"/>
          <w:bCs/>
          <w:sz w:val="28"/>
          <w:szCs w:val="28"/>
        </w:rPr>
        <w:t xml:space="preserve">附录Ⅲ  </w:t>
      </w:r>
      <w:r>
        <w:rPr>
          <w:rFonts w:hint="eastAsia" w:ascii="楷体" w:hAnsi="楷体" w:eastAsia="楷体" w:cs="楷体"/>
          <w:b w:val="0"/>
          <w:bCs/>
          <w:sz w:val="28"/>
          <w:szCs w:val="28"/>
        </w:rPr>
        <w:t>稳健性检验</w:t>
      </w:r>
      <w:bookmarkEnd w:id="8"/>
      <w:bookmarkEnd w:id="9"/>
    </w:p>
    <w:bookmarkEnd w:id="10"/>
    <w:p>
      <w:pPr>
        <w:rPr>
          <w:rFonts w:hint="eastAsia" w:ascii="宋体" w:hAnsi="宋体" w:eastAsia="宋体" w:cs="宋体"/>
          <w:b/>
          <w:color w:val="auto"/>
          <w:szCs w:val="22"/>
        </w:rPr>
      </w:pPr>
      <w:r>
        <w:drawing>
          <wp:anchor distT="0" distB="0" distL="114300" distR="114300" simplePos="0" relativeHeight="251660288" behindDoc="1" locked="0" layoutInCell="1" allowOverlap="1">
            <wp:simplePos x="0" y="0"/>
            <wp:positionH relativeFrom="column">
              <wp:posOffset>-68580</wp:posOffset>
            </wp:positionH>
            <wp:positionV relativeFrom="paragraph">
              <wp:posOffset>151765</wp:posOffset>
            </wp:positionV>
            <wp:extent cx="2573655" cy="2430145"/>
            <wp:effectExtent l="0" t="0" r="1905" b="8255"/>
            <wp:wrapNone/>
            <wp:docPr id="5" name="图片 9"/>
            <wp:cNvGraphicFramePr/>
            <a:graphic xmlns:a="http://schemas.openxmlformats.org/drawingml/2006/main">
              <a:graphicData uri="http://schemas.openxmlformats.org/drawingml/2006/picture">
                <pic:pic xmlns:pic="http://schemas.openxmlformats.org/drawingml/2006/picture">
                  <pic:nvPicPr>
                    <pic:cNvPr id="5" name="图片 9"/>
                    <pic:cNvPicPr/>
                  </pic:nvPicPr>
                  <pic:blipFill>
                    <a:blip r:embed="rId8"/>
                    <a:stretch>
                      <a:fillRect/>
                    </a:stretch>
                  </pic:blipFill>
                  <pic:spPr>
                    <a:xfrm>
                      <a:off x="0" y="0"/>
                      <a:ext cx="2573655" cy="2430145"/>
                    </a:xfrm>
                    <a:prstGeom prst="rect">
                      <a:avLst/>
                    </a:prstGeom>
                    <a:noFill/>
                    <a:ln>
                      <a:noFill/>
                    </a:ln>
                  </pic:spPr>
                </pic:pic>
              </a:graphicData>
            </a:graphic>
          </wp:anchor>
        </w:drawing>
      </w:r>
    </w:p>
    <w:p>
      <w:pPr>
        <w:rPr>
          <w:rFonts w:hint="eastAsia" w:ascii="宋体" w:hAnsi="宋体" w:eastAsia="宋体" w:cs="宋体"/>
          <w:b/>
          <w:color w:val="auto"/>
          <w:szCs w:val="22"/>
        </w:rPr>
      </w:pPr>
      <w:r>
        <w:drawing>
          <wp:anchor distT="0" distB="0" distL="114300" distR="114300" simplePos="0" relativeHeight="251661312" behindDoc="1" locked="0" layoutInCell="1" allowOverlap="1">
            <wp:simplePos x="0" y="0"/>
            <wp:positionH relativeFrom="column">
              <wp:posOffset>2670810</wp:posOffset>
            </wp:positionH>
            <wp:positionV relativeFrom="paragraph">
              <wp:posOffset>2540</wp:posOffset>
            </wp:positionV>
            <wp:extent cx="2619375" cy="2468880"/>
            <wp:effectExtent l="0" t="0" r="1905" b="0"/>
            <wp:wrapNone/>
            <wp:docPr id="8" name="图片 10"/>
            <wp:cNvGraphicFramePr/>
            <a:graphic xmlns:a="http://schemas.openxmlformats.org/drawingml/2006/main">
              <a:graphicData uri="http://schemas.openxmlformats.org/drawingml/2006/picture">
                <pic:pic xmlns:pic="http://schemas.openxmlformats.org/drawingml/2006/picture">
                  <pic:nvPicPr>
                    <pic:cNvPr id="8" name="图片 10"/>
                    <pic:cNvPicPr/>
                  </pic:nvPicPr>
                  <pic:blipFill>
                    <a:blip r:embed="rId9"/>
                    <a:stretch>
                      <a:fillRect/>
                    </a:stretch>
                  </pic:blipFill>
                  <pic:spPr>
                    <a:xfrm>
                      <a:off x="0" y="0"/>
                      <a:ext cx="2619375" cy="2468880"/>
                    </a:xfrm>
                    <a:prstGeom prst="rect">
                      <a:avLst/>
                    </a:prstGeom>
                    <a:noFill/>
                    <a:ln>
                      <a:noFill/>
                    </a:ln>
                  </pic:spPr>
                </pic:pic>
              </a:graphicData>
            </a:graphic>
          </wp:anchor>
        </w:drawing>
      </w: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keepNext w:val="0"/>
        <w:keepLines w:val="0"/>
        <w:pageBreakBefore w:val="0"/>
        <w:widowControl w:val="0"/>
        <w:kinsoku/>
        <w:wordWrap/>
        <w:overflowPunct/>
        <w:topLinePunct w:val="0"/>
        <w:autoSpaceDE/>
        <w:autoSpaceDN/>
        <w:bidi w:val="0"/>
        <w:adjustRightInd w:val="0"/>
        <w:snapToGrid/>
        <w:spacing w:line="360" w:lineRule="exact"/>
        <w:ind w:firstLine="420"/>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Cs w:val="21"/>
          <w:lang w:val="en-US" w:eastAsia="zh-CN"/>
          <w14:textFill>
            <w14:solidFill>
              <w14:schemeClr w14:val="tx1"/>
            </w14:solidFill>
          </w14:textFill>
        </w:rPr>
        <w:t xml:space="preserve">  图Ⅲ1</w:t>
      </w:r>
      <w:r>
        <w:rPr>
          <w:rFonts w:hint="default" w:ascii="Times New Roman" w:hAnsi="Times New Roman" w:eastAsia="宋体" w:cs="Times New Roman"/>
          <w:b/>
          <w:bCs/>
          <w:color w:val="000000" w:themeColor="text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szCs w:val="21"/>
          <w:lang w:val="en-US" w:eastAsia="zh-CN"/>
          <w14:textFill>
            <w14:solidFill>
              <w14:schemeClr w14:val="tx1"/>
            </w14:solidFill>
          </w14:textFill>
        </w:rPr>
        <w:t>基于Callaway and Sant`Anna（2020）稳健估计量的动态效应结果</w:t>
      </w: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ascii="宋体" w:hAnsi="宋体" w:eastAsia="宋体" w:cs="宋体"/>
          <w:b/>
          <w:color w:val="auto"/>
          <w:szCs w:val="22"/>
        </w:rPr>
      </w:pPr>
    </w:p>
    <w:p>
      <w:pPr>
        <w:rPr>
          <w:rFonts w:hint="eastAsia"/>
        </w:rPr>
      </w:pPr>
      <w:r>
        <w:rPr>
          <w:rFonts w:hint="eastAsia" w:ascii="宋体" w:hAnsi="宋体" w:eastAsia="宋体" w:cs="宋体"/>
          <w:b/>
          <w:color w:val="auto"/>
          <w:szCs w:val="22"/>
        </w:rPr>
        <w:t>注：该附录是期刊所发表论文的组成部分，同样视为作者公开发表的内容。如研究中使用该附录中的内容，</w:t>
      </w:r>
      <w:r>
        <w:rPr>
          <w:rFonts w:hint="eastAsia" w:ascii="宋体" w:hAnsi="宋体" w:eastAsia="宋体" w:cs="宋体"/>
          <w:b/>
          <w:bCs/>
          <w:color w:val="auto"/>
          <w:kern w:val="0"/>
          <w:szCs w:val="21"/>
        </w:rPr>
        <w:t>请务必在研究成果上注明</w:t>
      </w:r>
      <w:r>
        <w:rPr>
          <w:rFonts w:hint="eastAsia" w:ascii="宋体" w:hAnsi="宋体" w:eastAsia="宋体" w:cs="宋体"/>
          <w:b/>
          <w:bCs/>
          <w:color w:val="auto"/>
          <w:kern w:val="0"/>
          <w:szCs w:val="21"/>
          <w:lang w:val="en-US" w:eastAsia="zh-CN"/>
        </w:rPr>
        <w:t>附录</w:t>
      </w:r>
      <w:r>
        <w:rPr>
          <w:rFonts w:hint="eastAsia" w:ascii="宋体" w:hAnsi="宋体" w:eastAsia="宋体" w:cs="宋体"/>
          <w:b/>
          <w:bCs/>
          <w:color w:val="auto"/>
          <w:kern w:val="0"/>
          <w:szCs w:val="21"/>
        </w:rPr>
        <w:t>下载出处</w:t>
      </w:r>
      <w:r>
        <w:rPr>
          <w:rFonts w:hint="eastAsia" w:ascii="宋体" w:hAnsi="宋体" w:eastAsia="宋体" w:cs="宋体"/>
          <w:color w:val="auto"/>
          <w:kern w:val="0"/>
          <w:szCs w:val="21"/>
        </w:rPr>
        <w:t>。</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SJ0+ZIOIvH-3">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2024年第2期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BE2BBC"/>
    <w:rsid w:val="0000475E"/>
    <w:rsid w:val="000A69BD"/>
    <w:rsid w:val="000A771F"/>
    <w:rsid w:val="000D76A6"/>
    <w:rsid w:val="00100488"/>
    <w:rsid w:val="00147A0F"/>
    <w:rsid w:val="001610FE"/>
    <w:rsid w:val="00193C82"/>
    <w:rsid w:val="001B3CE3"/>
    <w:rsid w:val="001B5426"/>
    <w:rsid w:val="001C4961"/>
    <w:rsid w:val="001F4A74"/>
    <w:rsid w:val="002334CF"/>
    <w:rsid w:val="0026151A"/>
    <w:rsid w:val="0028453C"/>
    <w:rsid w:val="002B055B"/>
    <w:rsid w:val="002B18DC"/>
    <w:rsid w:val="002B6081"/>
    <w:rsid w:val="002F2FFF"/>
    <w:rsid w:val="0031063B"/>
    <w:rsid w:val="00342032"/>
    <w:rsid w:val="00400DEF"/>
    <w:rsid w:val="00480A8C"/>
    <w:rsid w:val="00486F21"/>
    <w:rsid w:val="00503D6F"/>
    <w:rsid w:val="00512989"/>
    <w:rsid w:val="00565DE9"/>
    <w:rsid w:val="0058713A"/>
    <w:rsid w:val="005B78EB"/>
    <w:rsid w:val="005B79AE"/>
    <w:rsid w:val="005D202D"/>
    <w:rsid w:val="005D53FD"/>
    <w:rsid w:val="005E5049"/>
    <w:rsid w:val="0060350D"/>
    <w:rsid w:val="0062328A"/>
    <w:rsid w:val="00640114"/>
    <w:rsid w:val="0067136C"/>
    <w:rsid w:val="00673221"/>
    <w:rsid w:val="006F39F7"/>
    <w:rsid w:val="00756469"/>
    <w:rsid w:val="00761332"/>
    <w:rsid w:val="0076243C"/>
    <w:rsid w:val="007A7A06"/>
    <w:rsid w:val="007F5316"/>
    <w:rsid w:val="00820879"/>
    <w:rsid w:val="00872E77"/>
    <w:rsid w:val="00880309"/>
    <w:rsid w:val="008A1AA4"/>
    <w:rsid w:val="00901838"/>
    <w:rsid w:val="00913C51"/>
    <w:rsid w:val="00922E15"/>
    <w:rsid w:val="00985FBE"/>
    <w:rsid w:val="00987E57"/>
    <w:rsid w:val="009B33CE"/>
    <w:rsid w:val="009C0BBA"/>
    <w:rsid w:val="009C4657"/>
    <w:rsid w:val="009C58D3"/>
    <w:rsid w:val="009E3D56"/>
    <w:rsid w:val="00A144AB"/>
    <w:rsid w:val="00A423C4"/>
    <w:rsid w:val="00A81D10"/>
    <w:rsid w:val="00A963D2"/>
    <w:rsid w:val="00AA1F5F"/>
    <w:rsid w:val="00AD0BAF"/>
    <w:rsid w:val="00AF2DB7"/>
    <w:rsid w:val="00B328F9"/>
    <w:rsid w:val="00B50A39"/>
    <w:rsid w:val="00BA0E9C"/>
    <w:rsid w:val="00BE0121"/>
    <w:rsid w:val="00BE2BBC"/>
    <w:rsid w:val="00C0488C"/>
    <w:rsid w:val="00C07E55"/>
    <w:rsid w:val="00C1223E"/>
    <w:rsid w:val="00C513DA"/>
    <w:rsid w:val="00CB42C3"/>
    <w:rsid w:val="00CD7DA1"/>
    <w:rsid w:val="00CF0009"/>
    <w:rsid w:val="00D67DBE"/>
    <w:rsid w:val="00D848D1"/>
    <w:rsid w:val="00DC157A"/>
    <w:rsid w:val="00DC7FE9"/>
    <w:rsid w:val="00DD5668"/>
    <w:rsid w:val="00DE1675"/>
    <w:rsid w:val="00E554E4"/>
    <w:rsid w:val="00E94DE6"/>
    <w:rsid w:val="00ED2DCD"/>
    <w:rsid w:val="00F054A5"/>
    <w:rsid w:val="00F33FC8"/>
    <w:rsid w:val="00F8188E"/>
    <w:rsid w:val="013B2B96"/>
    <w:rsid w:val="05D8243A"/>
    <w:rsid w:val="06755E5D"/>
    <w:rsid w:val="0772358E"/>
    <w:rsid w:val="08146DF3"/>
    <w:rsid w:val="099039A4"/>
    <w:rsid w:val="0AA22C94"/>
    <w:rsid w:val="0B291CB1"/>
    <w:rsid w:val="0DDD118B"/>
    <w:rsid w:val="12744159"/>
    <w:rsid w:val="139F04BD"/>
    <w:rsid w:val="15F30226"/>
    <w:rsid w:val="16732DAE"/>
    <w:rsid w:val="169B17F7"/>
    <w:rsid w:val="17F41887"/>
    <w:rsid w:val="19D141F9"/>
    <w:rsid w:val="1C1F3F30"/>
    <w:rsid w:val="1EED08D9"/>
    <w:rsid w:val="1F951C13"/>
    <w:rsid w:val="1FFB189E"/>
    <w:rsid w:val="22AB7CC8"/>
    <w:rsid w:val="24BA4F50"/>
    <w:rsid w:val="252236AD"/>
    <w:rsid w:val="255E0A31"/>
    <w:rsid w:val="26F71F64"/>
    <w:rsid w:val="28AF0448"/>
    <w:rsid w:val="2B682477"/>
    <w:rsid w:val="2C2B6B20"/>
    <w:rsid w:val="2E4415F5"/>
    <w:rsid w:val="30176732"/>
    <w:rsid w:val="31250AEE"/>
    <w:rsid w:val="31644F41"/>
    <w:rsid w:val="32BB581D"/>
    <w:rsid w:val="34C45C04"/>
    <w:rsid w:val="35336FC4"/>
    <w:rsid w:val="373A6E70"/>
    <w:rsid w:val="37D83664"/>
    <w:rsid w:val="39C944DB"/>
    <w:rsid w:val="3A950F75"/>
    <w:rsid w:val="3B3201D0"/>
    <w:rsid w:val="3E495BEB"/>
    <w:rsid w:val="3ECF4342"/>
    <w:rsid w:val="40423CBD"/>
    <w:rsid w:val="418626C9"/>
    <w:rsid w:val="426E2B51"/>
    <w:rsid w:val="43F31768"/>
    <w:rsid w:val="46CE5D9A"/>
    <w:rsid w:val="477F6562"/>
    <w:rsid w:val="479F0E8A"/>
    <w:rsid w:val="47F55757"/>
    <w:rsid w:val="48090F70"/>
    <w:rsid w:val="494C4961"/>
    <w:rsid w:val="49D95E0B"/>
    <w:rsid w:val="4B6E5B92"/>
    <w:rsid w:val="4C190265"/>
    <w:rsid w:val="4CE95658"/>
    <w:rsid w:val="4F3877A3"/>
    <w:rsid w:val="537868FE"/>
    <w:rsid w:val="54D63454"/>
    <w:rsid w:val="572D17AE"/>
    <w:rsid w:val="57A93052"/>
    <w:rsid w:val="57EE10A0"/>
    <w:rsid w:val="57FB5F07"/>
    <w:rsid w:val="593D461C"/>
    <w:rsid w:val="5FEA1490"/>
    <w:rsid w:val="625E7BB8"/>
    <w:rsid w:val="64FE28B2"/>
    <w:rsid w:val="65BC70E8"/>
    <w:rsid w:val="66176E0F"/>
    <w:rsid w:val="6630258F"/>
    <w:rsid w:val="671001D4"/>
    <w:rsid w:val="68CA04BB"/>
    <w:rsid w:val="6BA70260"/>
    <w:rsid w:val="6C307F56"/>
    <w:rsid w:val="6EC67BD5"/>
    <w:rsid w:val="6F582E84"/>
    <w:rsid w:val="6F7F2EDE"/>
    <w:rsid w:val="705605A5"/>
    <w:rsid w:val="71126644"/>
    <w:rsid w:val="71C43856"/>
    <w:rsid w:val="721FFEA8"/>
    <w:rsid w:val="723A2004"/>
    <w:rsid w:val="7A2B2D92"/>
    <w:rsid w:val="7B6E018F"/>
    <w:rsid w:val="7BDF30E8"/>
    <w:rsid w:val="7D586202"/>
    <w:rsid w:val="7E260B81"/>
    <w:rsid w:val="7F9A1943"/>
    <w:rsid w:val="BBEFE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autoRedefine/>
    <w:unhideWhenUsed/>
    <w:qFormat/>
    <w:uiPriority w:val="0"/>
    <w:rPr>
      <w:rFonts w:eastAsia="黑体" w:asciiTheme="majorHAnsi" w:hAnsiTheme="majorHAnsi" w:cstheme="majorBidi"/>
      <w:sz w:val="20"/>
      <w:szCs w:val="20"/>
    </w:rPr>
  </w:style>
  <w:style w:type="paragraph" w:styleId="5">
    <w:name w:val="annotation text"/>
    <w:basedOn w:val="1"/>
    <w:link w:val="22"/>
    <w:unhideWhenUsed/>
    <w:qFormat/>
    <w:uiPriority w:val="99"/>
    <w:pPr>
      <w:jc w:val="left"/>
    </w:pPr>
  </w:style>
  <w:style w:type="paragraph" w:styleId="6">
    <w:name w:val="Balloon Text"/>
    <w:basedOn w:val="1"/>
    <w:link w:val="21"/>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39"/>
    <w:pPr>
      <w:widowControl/>
      <w:spacing w:after="100" w:line="259" w:lineRule="auto"/>
      <w:jc w:val="left"/>
    </w:pPr>
    <w:rPr>
      <w:rFonts w:ascii="等线" w:hAnsi="等线" w:eastAsia="等线"/>
      <w:kern w:val="0"/>
      <w:sz w:val="22"/>
    </w:rPr>
  </w:style>
  <w:style w:type="paragraph" w:styleId="10">
    <w:name w:val="footnote text"/>
    <w:basedOn w:val="1"/>
    <w:autoRedefine/>
    <w:unhideWhenUsed/>
    <w:qFormat/>
    <w:uiPriority w:val="0"/>
    <w:pPr>
      <w:snapToGrid w:val="0"/>
      <w:jc w:val="left"/>
    </w:pPr>
    <w:rPr>
      <w:sz w:val="18"/>
      <w:szCs w:val="18"/>
    </w:rPr>
  </w:style>
  <w:style w:type="paragraph" w:styleId="11">
    <w:name w:val="Normal (Web)"/>
    <w:basedOn w:val="1"/>
    <w:autoRedefine/>
    <w:unhideWhenUsed/>
    <w:qFormat/>
    <w:uiPriority w:val="0"/>
    <w:rPr>
      <w:rFonts w:ascii="Calibri" w:hAnsi="Calibri" w:eastAsia="宋体" w:cs="Times New Roman"/>
      <w:sz w:val="24"/>
      <w:szCs w:val="24"/>
    </w:rPr>
  </w:style>
  <w:style w:type="paragraph" w:styleId="12">
    <w:name w:val="annotation subject"/>
    <w:basedOn w:val="5"/>
    <w:next w:val="5"/>
    <w:link w:val="23"/>
    <w:autoRedefine/>
    <w:qFormat/>
    <w:uiPriority w:val="0"/>
    <w:rPr>
      <w:b/>
      <w:bCs/>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autoRedefine/>
    <w:qFormat/>
    <w:uiPriority w:val="0"/>
    <w:rPr>
      <w:sz w:val="21"/>
      <w:szCs w:val="21"/>
    </w:rPr>
  </w:style>
  <w:style w:type="paragraph" w:customStyle="1" w:styleId="17">
    <w:name w:val="表格文字"/>
    <w:basedOn w:val="1"/>
    <w:autoRedefine/>
    <w:qFormat/>
    <w:uiPriority w:val="1"/>
    <w:pPr>
      <w:spacing w:before="60" w:after="60"/>
      <w:jc w:val="center"/>
    </w:pPr>
    <w:rPr>
      <w:rFonts w:eastAsia="宋体"/>
      <w:sz w:val="18"/>
    </w:rPr>
  </w:style>
  <w:style w:type="paragraph" w:customStyle="1" w:styleId="18">
    <w:name w:val="列出段落1"/>
    <w:basedOn w:val="1"/>
    <w:autoRedefine/>
    <w:qFormat/>
    <w:uiPriority w:val="0"/>
    <w:pPr>
      <w:spacing w:line="360" w:lineRule="auto"/>
      <w:ind w:firstLine="420" w:firstLineChars="200"/>
      <w:jc w:val="left"/>
    </w:pPr>
    <w:rPr>
      <w:rFonts w:ascii="等线" w:hAnsi="等线" w:eastAsia="宋体" w:cs="Times New Roman"/>
      <w:color w:val="000000" w:themeColor="text1"/>
      <w:sz w:val="24"/>
      <w:szCs w:val="21"/>
      <w14:textFill>
        <w14:solidFill>
          <w14:schemeClr w14:val="tx1"/>
        </w14:solidFill>
      </w14:textFill>
    </w:rPr>
  </w:style>
  <w:style w:type="character" w:customStyle="1" w:styleId="19">
    <w:name w:val="标题二"/>
    <w:autoRedefine/>
    <w:qFormat/>
    <w:uiPriority w:val="0"/>
    <w:rPr>
      <w:rFonts w:hint="default" w:ascii="SSJ0+ZIOIvH-3" w:hAnsi="SSJ0+ZIOIvH-3" w:eastAsia="宋体"/>
      <w:b/>
      <w:color w:val="000000"/>
      <w:sz w:val="24"/>
      <w:szCs w:val="16"/>
    </w:rPr>
  </w:style>
  <w:style w:type="paragraph" w:customStyle="1" w:styleId="20">
    <w:name w:val="WPSOffice手动目录 1"/>
    <w:autoRedefine/>
    <w:qFormat/>
    <w:uiPriority w:val="0"/>
    <w:rPr>
      <w:rFonts w:asciiTheme="minorHAnsi" w:hAnsiTheme="minorHAnsi" w:eastAsiaTheme="minorEastAsia" w:cstheme="minorBidi"/>
      <w:lang w:val="en-US" w:eastAsia="zh-CN" w:bidi="ar-SA"/>
    </w:rPr>
  </w:style>
  <w:style w:type="character" w:customStyle="1" w:styleId="21">
    <w:name w:val="批注框文本 字符"/>
    <w:basedOn w:val="15"/>
    <w:link w:val="6"/>
    <w:autoRedefine/>
    <w:qFormat/>
    <w:uiPriority w:val="0"/>
    <w:rPr>
      <w:kern w:val="2"/>
      <w:sz w:val="18"/>
      <w:szCs w:val="18"/>
    </w:rPr>
  </w:style>
  <w:style w:type="character" w:customStyle="1" w:styleId="22">
    <w:name w:val="批注文字 字符"/>
    <w:basedOn w:val="15"/>
    <w:link w:val="5"/>
    <w:autoRedefine/>
    <w:qFormat/>
    <w:uiPriority w:val="99"/>
    <w:rPr>
      <w:kern w:val="2"/>
      <w:sz w:val="21"/>
      <w:szCs w:val="22"/>
    </w:rPr>
  </w:style>
  <w:style w:type="character" w:customStyle="1" w:styleId="23">
    <w:name w:val="批注主题 字符"/>
    <w:basedOn w:val="22"/>
    <w:link w:val="12"/>
    <w:autoRedefine/>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442</Words>
  <Characters>2520</Characters>
  <Lines>21</Lines>
  <Paragraphs>5</Paragraphs>
  <TotalTime>65</TotalTime>
  <ScaleCrop>false</ScaleCrop>
  <LinksUpToDate>false</LinksUpToDate>
  <CharactersWithSpaces>2957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2023-12-26T18:56:00Z</dcterms:created>
  <dc:creator>SongY</dc:creator>
  <cp:lastModifiedBy>刘京</cp:lastModifiedBy>
  <dcterms:modified xsi:type="dcterms:W3CDTF">2024-03-17T11:26:07Z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3006D7728863402691AD03BE9B61CBC3_13</vt:lpwstr>
  </property>
</Properties>
</file>