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从“主动负债”到“被动负债”：中央监管转变下的</w:t>
      </w: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隐性债务扩张变化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/>
          <w:sz w:val="44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聂卓 </w:t>
      </w:r>
      <w:r>
        <w:rPr>
          <w:rFonts w:hint="eastAsia" w:ascii="楷体" w:hAnsi="楷体" w:eastAsia="楷体"/>
          <w:sz w:val="28"/>
          <w:szCs w:val="28"/>
        </w:rPr>
        <w:t>刘松瑞</w:t>
      </w:r>
      <w:r>
        <w:rPr>
          <w:rFonts w:ascii="楷体" w:hAnsi="楷体" w:eastAsia="楷体"/>
          <w:sz w:val="28"/>
          <w:szCs w:val="28"/>
        </w:rPr>
        <w:t xml:space="preserve"> 玄威</w:t>
      </w:r>
    </w:p>
    <w:p>
      <w:pPr>
        <w:rPr>
          <w:rFonts w:hint="eastAsia"/>
        </w:rPr>
      </w:pPr>
    </w:p>
    <w:p/>
    <w:p/>
    <w:sdt>
      <w:sdtP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id w:val="-1712729176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i w:val="0"/>
          <w:iCs w:val="0"/>
          <w:sz w:val="22"/>
          <w:szCs w:val="22"/>
          <w:lang w:val="zh-CN"/>
        </w:rPr>
      </w:sdtEndPr>
      <w:sdtContent>
        <w:p>
          <w:pPr>
            <w:pStyle w:val="17"/>
            <w:spacing w:line="240" w:lineRule="auto"/>
            <w:ind w:firstLine="643"/>
            <w:jc w:val="center"/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目录</w:t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i w:val="0"/>
              <w:iCs w:val="0"/>
              <w:sz w:val="22"/>
              <w:szCs w:val="22"/>
            </w:rPr>
          </w:pP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</w:rPr>
            <w:t>附录I</w:t>
          </w: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</w:rPr>
            <w:t xml:space="preserve"> 附图</w:t>
          </w: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  <w:lang w:val="zh-CN"/>
            </w:rPr>
            <w:t>1</w:t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i w:val="0"/>
              <w:iCs w:val="0"/>
              <w:sz w:val="22"/>
              <w:szCs w:val="22"/>
            </w:rPr>
          </w:pP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</w:rPr>
            <w:t>附录II 替换严监管年份的结果</w:t>
          </w: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i w:val="0"/>
              <w:iCs w:val="0"/>
              <w:sz w:val="22"/>
              <w:szCs w:val="22"/>
              <w:lang w:val="en-US" w:eastAsia="zh-CN"/>
            </w:rPr>
            <w:t>3</w:t>
          </w:r>
          <w:bookmarkStart w:id="4" w:name="_GoBack"/>
          <w:bookmarkEnd w:id="4"/>
        </w:p>
      </w:sdtContent>
    </w:sdt>
    <w:p>
      <w:pPr>
        <w:rPr>
          <w:rFonts w:hint="eastAsia" w:ascii="等线 Light" w:hAnsi="等线 Light" w:eastAsia="等线 Light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4"/>
        </w:rPr>
      </w:pPr>
      <w:r>
        <w:rPr>
          <w:rFonts w:hint="eastAsia" w:ascii="楷体" w:hAnsi="楷体" w:eastAsia="楷体" w:cs="楷体"/>
          <w:color w:val="000000"/>
          <w:sz w:val="28"/>
          <w:szCs w:val="24"/>
        </w:rPr>
        <w:t>附录I 附图</w:t>
      </w:r>
    </w:p>
    <w:p>
      <w:pPr>
        <w:rPr>
          <w:rFonts w:ascii="等线 Light" w:hAnsi="等线 Light" w:eastAsia="等线 Light"/>
          <w:color w:val="000000"/>
        </w:rPr>
      </w:pPr>
    </w:p>
    <w:p>
      <w:pPr>
        <w:keepNext/>
      </w:pPr>
      <w:r>
        <w:rPr>
          <w:rFonts w:hint="eastAsia"/>
        </w:rPr>
        <w:drawing>
          <wp:inline distT="0" distB="0" distL="0" distR="0">
            <wp:extent cx="5270500" cy="351536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1"/>
        </w:rPr>
      </w:pPr>
      <w:bookmarkStart w:id="0" w:name="_Ref71016364"/>
      <w:r>
        <w:rPr>
          <w:rFonts w:hint="eastAsia" w:ascii="宋体" w:hAnsi="宋体" w:eastAsia="宋体" w:cs="宋体"/>
          <w:b/>
          <w:bCs/>
          <w:sz w:val="20"/>
          <w:szCs w:val="21"/>
        </w:rPr>
        <w:t>图 A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0"/>
          <w:szCs w:val="21"/>
        </w:rPr>
        <w:instrText xml:space="preserve"> SEQ 图 \* ARABIC </w:instrTex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0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end"/>
      </w:r>
      <w:bookmarkEnd w:id="0"/>
      <w:r>
        <w:rPr>
          <w:rFonts w:hint="eastAsia" w:ascii="宋体" w:hAnsi="宋体" w:eastAsia="宋体" w:cs="宋体"/>
          <w:b/>
          <w:bCs/>
          <w:sz w:val="20"/>
          <w:szCs w:val="21"/>
        </w:rPr>
        <w:t xml:space="preserve"> 2007-2018年人均融资平台有息负债增量变化趋势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注：图中使用的数据来自曹婧等（2019）公开的融资平台债务数据。图中人均融资平台有息负债增量 = （全国当年融资平台有息负债 – 全国上年融资平台有息负债）/ 当年全国人口。</w:t>
      </w:r>
    </w:p>
    <w:p>
      <w:pPr>
        <w:keepNext/>
      </w:pPr>
      <w:r>
        <w:drawing>
          <wp:inline distT="0" distB="0" distL="0" distR="0">
            <wp:extent cx="5270500" cy="351536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1"/>
        </w:rPr>
      </w:pPr>
      <w:bookmarkStart w:id="1" w:name="_Ref71016712"/>
      <w:r>
        <w:rPr>
          <w:rFonts w:hint="eastAsia" w:ascii="宋体" w:hAnsi="宋体" w:eastAsia="宋体" w:cs="宋体"/>
          <w:b/>
          <w:bCs/>
          <w:sz w:val="20"/>
          <w:szCs w:val="21"/>
        </w:rPr>
        <w:t>图 A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0"/>
          <w:szCs w:val="21"/>
        </w:rPr>
        <w:instrText xml:space="preserve"> SEQ 图 \* ARABIC </w:instrTex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0"/>
          <w:szCs w:val="21"/>
        </w:rPr>
        <w:t>2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end"/>
      </w:r>
      <w:bookmarkEnd w:id="1"/>
      <w:r>
        <w:rPr>
          <w:rFonts w:hint="eastAsia" w:ascii="宋体" w:hAnsi="宋体" w:eastAsia="宋体" w:cs="宋体"/>
          <w:b/>
          <w:bCs/>
          <w:sz w:val="20"/>
          <w:szCs w:val="21"/>
        </w:rPr>
        <w:t xml:space="preserve"> 2007-2018年不同用途城投债发行变化趋势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注：图中使用的数据来自曹婧等（2019）公开的融资平台债务数据。</w:t>
      </w:r>
    </w:p>
    <w:p>
      <w:pPr>
        <w:rPr>
          <w:rFonts w:hint="eastAsia" w:ascii="等线 Light" w:hAnsi="等线 Light" w:eastAsia="等线 Light"/>
          <w:color w:val="000000"/>
        </w:rPr>
      </w:pPr>
    </w:p>
    <w:p>
      <w:pPr>
        <w:keepNext/>
      </w:pPr>
      <w:r>
        <w:drawing>
          <wp:inline distT="0" distB="0" distL="0" distR="0">
            <wp:extent cx="5270500" cy="351345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1"/>
        </w:rPr>
      </w:pPr>
      <w:bookmarkStart w:id="2" w:name="_Ref71017194"/>
      <w:r>
        <w:rPr>
          <w:rFonts w:hint="eastAsia" w:ascii="宋体" w:hAnsi="宋体" w:eastAsia="宋体" w:cs="宋体"/>
          <w:b/>
          <w:bCs/>
          <w:sz w:val="20"/>
          <w:szCs w:val="21"/>
        </w:rPr>
        <w:t>图 A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0"/>
          <w:szCs w:val="21"/>
        </w:rPr>
        <w:instrText xml:space="preserve"> SEQ 图 \* ARABIC </w:instrTex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0"/>
          <w:szCs w:val="21"/>
        </w:rPr>
        <w:t>3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end"/>
      </w:r>
      <w:bookmarkEnd w:id="2"/>
      <w:r>
        <w:rPr>
          <w:rFonts w:hint="eastAsia" w:ascii="宋体" w:hAnsi="宋体" w:eastAsia="宋体" w:cs="宋体"/>
          <w:b/>
          <w:bCs/>
          <w:sz w:val="20"/>
          <w:szCs w:val="21"/>
        </w:rPr>
        <w:t xml:space="preserve"> 2007-2018年人均融资平台到期债务规模变化趋势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注：图中数据来自Wind公布的融资平台财务报表数据，到期债务的计算方式参见正文第三节。</w:t>
      </w:r>
    </w:p>
    <w:p>
      <w:pPr>
        <w:widowControl/>
        <w:jc w:val="left"/>
      </w:pPr>
    </w:p>
    <w:p>
      <w:pPr>
        <w:keepNext/>
      </w:pPr>
      <w:r>
        <w:rPr>
          <w:rFonts w:hint="eastAsia"/>
        </w:rPr>
        <w:drawing>
          <wp:inline distT="0" distB="0" distL="0" distR="0">
            <wp:extent cx="5270500" cy="35153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1"/>
        </w:rPr>
      </w:pPr>
      <w:bookmarkStart w:id="3" w:name="_Ref71018047"/>
      <w:r>
        <w:rPr>
          <w:rFonts w:hint="eastAsia" w:ascii="宋体" w:hAnsi="宋体" w:eastAsia="宋体" w:cs="宋体"/>
          <w:b/>
          <w:bCs/>
          <w:sz w:val="20"/>
          <w:szCs w:val="21"/>
        </w:rPr>
        <w:t>图 A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0"/>
          <w:szCs w:val="21"/>
        </w:rPr>
        <w:instrText xml:space="preserve"> SEQ 图 \* ARABIC </w:instrTex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0"/>
          <w:szCs w:val="21"/>
        </w:rPr>
        <w:t>4</w:t>
      </w:r>
      <w:r>
        <w:rPr>
          <w:rFonts w:hint="eastAsia" w:ascii="宋体" w:hAnsi="宋体" w:eastAsia="宋体" w:cs="宋体"/>
          <w:b/>
          <w:bCs/>
          <w:sz w:val="20"/>
          <w:szCs w:val="21"/>
        </w:rPr>
        <w:fldChar w:fldCharType="end"/>
      </w:r>
      <w:bookmarkEnd w:id="3"/>
      <w:r>
        <w:rPr>
          <w:rFonts w:hint="eastAsia" w:ascii="宋体" w:hAnsi="宋体" w:eastAsia="宋体" w:cs="宋体"/>
          <w:b/>
          <w:bCs/>
          <w:sz w:val="20"/>
          <w:szCs w:val="21"/>
        </w:rPr>
        <w:t xml:space="preserve"> 2009-2018年全国人均土地出让收入变化趋势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注：图中使用的数据来自《国土资源统计年鉴》。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4"/>
        </w:rPr>
      </w:pPr>
      <w:r>
        <w:rPr>
          <w:rFonts w:hint="eastAsia" w:ascii="楷体" w:hAnsi="楷体" w:eastAsia="楷体" w:cs="楷体"/>
          <w:color w:val="000000"/>
          <w:sz w:val="28"/>
          <w:szCs w:val="24"/>
        </w:rPr>
        <w:t>附录II</w:t>
      </w:r>
      <w:r>
        <w:rPr>
          <w:rFonts w:hint="eastAsia" w:ascii="楷体" w:hAnsi="楷体" w:eastAsia="楷体" w:cs="楷体"/>
          <w:color w:val="000000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8"/>
          <w:szCs w:val="24"/>
        </w:rPr>
        <w:t xml:space="preserve"> 替换严监管年份的结果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II1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市委书记激励对城投债发行的影响：替换严监管年份</w:t>
      </w:r>
    </w:p>
    <w:tbl>
      <w:tblPr>
        <w:tblStyle w:val="9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100"/>
        <w:gridCol w:w="1100"/>
        <w:gridCol w:w="1100"/>
        <w:gridCol w:w="1100"/>
        <w:gridCol w:w="112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(1)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(2)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(3)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(4)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(</w:t>
            </w:r>
            <w:r>
              <w:rPr>
                <w:rFonts w:ascii="仿宋" w:hAnsi="仿宋" w:eastAsia="仿宋" w:cs="Calibri"/>
                <w:sz w:val="18"/>
                <w:szCs w:val="18"/>
              </w:rPr>
              <w:t>5)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(</w:t>
            </w:r>
            <w:r>
              <w:rPr>
                <w:rFonts w:ascii="仿宋" w:hAnsi="仿宋" w:eastAsia="仿宋" w:cs="Calibri"/>
                <w:sz w:val="18"/>
                <w:szCs w:val="18"/>
              </w:rPr>
              <w:t>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被解释变量 </w:t>
            </w:r>
            <w:r>
              <w:rPr>
                <w:rFonts w:ascii="仿宋" w:hAnsi="仿宋" w:eastAsia="仿宋"/>
                <w:sz w:val="18"/>
                <w:szCs w:val="18"/>
              </w:rPr>
              <w:t>=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人均新发行城投债金额（对数）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市委书记激励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0.2971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0.4604*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0.4800*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0.2238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0.3511*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0.3743**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(0.258)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(0.249)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(0.250)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(0.192)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(0.188)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(0.188)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市委书记激励*2</w:t>
            </w:r>
            <w:r>
              <w:rPr>
                <w:rFonts w:ascii="仿宋" w:hAnsi="仿宋" w:eastAsia="仿宋" w:cs="Calibri"/>
                <w:sz w:val="18"/>
                <w:szCs w:val="18"/>
              </w:rPr>
              <w:t>014</w:t>
            </w:r>
            <w:r>
              <w:rPr>
                <w:rFonts w:hint="eastAsia" w:ascii="仿宋" w:hAnsi="仿宋" w:eastAsia="仿宋" w:cs="Calibri"/>
                <w:sz w:val="18"/>
                <w:szCs w:val="18"/>
              </w:rPr>
              <w:t>年后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-0.1570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-0.5501*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-0.5446*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(0.322)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(0.320)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(0.320)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市委书记激励*2</w:t>
            </w:r>
            <w:r>
              <w:rPr>
                <w:rFonts w:ascii="仿宋" w:hAnsi="仿宋" w:eastAsia="仿宋" w:cs="Calibri"/>
                <w:sz w:val="18"/>
                <w:szCs w:val="18"/>
              </w:rPr>
              <w:t>016</w:t>
            </w:r>
            <w:r>
              <w:rPr>
                <w:rFonts w:hint="eastAsia" w:ascii="仿宋" w:hAnsi="仿宋" w:eastAsia="仿宋" w:cs="Calibri"/>
                <w:sz w:val="18"/>
                <w:szCs w:val="18"/>
              </w:rPr>
              <w:t>年后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-0.0574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-0.6450**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-0.6496**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(0.306)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(0.319)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(0.315)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观测值数量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3,471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3,471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3,471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3,471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城市固定效应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年份固定效应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省份*年份固定效应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控制变量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注：稳健标准误均聚类在城市层面，*** p&lt;0.01, ** p&lt;0.05, * p&lt;0.1。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II2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到期债务压力对城投债发行的影响：替换严监管年份</w:t>
      </w:r>
    </w:p>
    <w:tbl>
      <w:tblPr>
        <w:tblStyle w:val="9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100"/>
        <w:gridCol w:w="1100"/>
        <w:gridCol w:w="1100"/>
        <w:gridCol w:w="1100"/>
        <w:gridCol w:w="112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(1)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(2)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(3)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(4)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(</w:t>
            </w:r>
            <w:r>
              <w:rPr>
                <w:rFonts w:ascii="仿宋" w:hAnsi="仿宋" w:eastAsia="仿宋" w:cs="Calibri"/>
                <w:sz w:val="18"/>
                <w:szCs w:val="18"/>
              </w:rPr>
              <w:t>5)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(</w:t>
            </w:r>
            <w:r>
              <w:rPr>
                <w:rFonts w:ascii="仿宋" w:hAnsi="仿宋" w:eastAsia="仿宋" w:cs="Calibri"/>
                <w:sz w:val="18"/>
                <w:szCs w:val="18"/>
              </w:rPr>
              <w:t>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被解释变量 </w:t>
            </w:r>
            <w:r>
              <w:rPr>
                <w:rFonts w:ascii="仿宋" w:hAnsi="仿宋" w:eastAsia="仿宋"/>
                <w:sz w:val="18"/>
                <w:szCs w:val="18"/>
              </w:rPr>
              <w:t>=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人均新发行城投债金额（对数）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到期债务压力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0.1551**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0.1243*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0.1207*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0.1909***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0.1606**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0.1675**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(0.064)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(0.069)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到期债务压力*</w:t>
            </w:r>
            <w:r>
              <w:rPr>
                <w:rFonts w:hint="eastAsia" w:ascii="仿宋" w:hAnsi="仿宋" w:eastAsia="仿宋" w:cs="Calibri"/>
                <w:sz w:val="18"/>
                <w:szCs w:val="18"/>
              </w:rPr>
              <w:t>2</w:t>
            </w:r>
            <w:r>
              <w:rPr>
                <w:rFonts w:ascii="仿宋" w:hAnsi="仿宋" w:eastAsia="仿宋" w:cs="Calibri"/>
                <w:sz w:val="18"/>
                <w:szCs w:val="18"/>
              </w:rPr>
              <w:t>015</w:t>
            </w:r>
            <w:r>
              <w:rPr>
                <w:rFonts w:hint="eastAsia" w:ascii="仿宋" w:hAnsi="仿宋" w:eastAsia="仿宋" w:cs="Calibri"/>
                <w:sz w:val="18"/>
                <w:szCs w:val="18"/>
              </w:rPr>
              <w:t>年后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0.4604***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0.4265***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0.4540***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(0.067)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(0.071)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到期债务压力*</w:t>
            </w:r>
            <w:r>
              <w:rPr>
                <w:rFonts w:hint="eastAsia" w:ascii="仿宋" w:hAnsi="仿宋" w:eastAsia="仿宋" w:cs="Calibri"/>
                <w:sz w:val="18"/>
                <w:szCs w:val="18"/>
              </w:rPr>
              <w:t>2</w:t>
            </w:r>
            <w:r>
              <w:rPr>
                <w:rFonts w:ascii="仿宋" w:hAnsi="仿宋" w:eastAsia="仿宋" w:cs="Calibri"/>
                <w:sz w:val="18"/>
                <w:szCs w:val="18"/>
              </w:rPr>
              <w:t>015</w:t>
            </w:r>
            <w:r>
              <w:rPr>
                <w:rFonts w:hint="eastAsia" w:ascii="仿宋" w:hAnsi="仿宋" w:eastAsia="仿宋" w:cs="Calibri"/>
                <w:sz w:val="18"/>
                <w:szCs w:val="18"/>
              </w:rPr>
              <w:t>年后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0.3871***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0.3122***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0.3170***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(0.072)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(0.082)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观测值数量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3,268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3,268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3,268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3,268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ascii="仿宋" w:hAnsi="仿宋" w:eastAsia="仿宋" w:cs="Calibri"/>
                <w:sz w:val="18"/>
                <w:szCs w:val="18"/>
              </w:rPr>
              <w:t>3,268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城市固定效应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年份固定效应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省份*年份固定效应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Calibri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sz w:val="18"/>
                <w:szCs w:val="18"/>
              </w:rPr>
              <w:t>控制变量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注：稳健标准误均聚类在城市层面，*** p&lt;0.01, ** p&lt;0.05, * p&lt;0.1。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4984930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044984930"/>
        <w:docPartObj>
          <w:docPartGallery w:val="autotext"/>
        </w:docPartObj>
      </w:sdtPr>
      <w:sdtContent/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 xml:space="preserve">经济学 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 2023年第6期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TY5MzAxODJhZDAxMGMwZGQwZTA0ZDg0NjA2ZDkifQ=="/>
  </w:docVars>
  <w:rsids>
    <w:rsidRoot w:val="007031A2"/>
    <w:rsid w:val="00081E19"/>
    <w:rsid w:val="002452FE"/>
    <w:rsid w:val="0028403E"/>
    <w:rsid w:val="002A3315"/>
    <w:rsid w:val="0060758C"/>
    <w:rsid w:val="00670BFD"/>
    <w:rsid w:val="007031A2"/>
    <w:rsid w:val="00723A7A"/>
    <w:rsid w:val="007D1C39"/>
    <w:rsid w:val="0082059A"/>
    <w:rsid w:val="00860409"/>
    <w:rsid w:val="008B4FFC"/>
    <w:rsid w:val="00953D8B"/>
    <w:rsid w:val="0096687F"/>
    <w:rsid w:val="009C41D9"/>
    <w:rsid w:val="00BF40B0"/>
    <w:rsid w:val="00CF34B1"/>
    <w:rsid w:val="00D15674"/>
    <w:rsid w:val="00D254EB"/>
    <w:rsid w:val="00DB6CA3"/>
    <w:rsid w:val="00E02860"/>
    <w:rsid w:val="00E81582"/>
    <w:rsid w:val="1E302D5E"/>
    <w:rsid w:val="36B244A5"/>
    <w:rsid w:val="429C09DF"/>
    <w:rsid w:val="68E7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footnote text"/>
    <w:basedOn w:val="1"/>
    <w:link w:val="16"/>
    <w:semiHidden/>
    <w:unhideWhenUsed/>
    <w:uiPriority w:val="99"/>
    <w:pPr>
      <w:snapToGrid w:val="0"/>
      <w:jc w:val="left"/>
    </w:pPr>
    <w:rPr>
      <w:rFonts w:ascii="Times New Roman" w:hAnsi="Times New Roman" w:eastAsia="宋体" w:cs="Times New Roman"/>
      <w:color w:val="333333"/>
      <w:kern w:val="0"/>
      <w:sz w:val="18"/>
      <w:szCs w:val="18"/>
    </w:rPr>
  </w:style>
  <w:style w:type="paragraph" w:styleId="8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1">
    <w:name w:val="footnote reference"/>
    <w:basedOn w:val="10"/>
    <w:semiHidden/>
    <w:unhideWhenUsed/>
    <w:uiPriority w:val="99"/>
    <w:rPr>
      <w:vertAlign w:val="superscript"/>
    </w:rPr>
  </w:style>
  <w:style w:type="character" w:customStyle="1" w:styleId="12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脚注文本 Char"/>
    <w:basedOn w:val="10"/>
    <w:link w:val="7"/>
    <w:semiHidden/>
    <w:qFormat/>
    <w:uiPriority w:val="99"/>
    <w:rPr>
      <w:rFonts w:ascii="Times New Roman" w:hAnsi="Times New Roman" w:eastAsia="宋体" w:cs="Times New Roman"/>
      <w:color w:val="333333"/>
      <w:kern w:val="0"/>
      <w:sz w:val="18"/>
      <w:szCs w:val="18"/>
    </w:rPr>
  </w:style>
  <w:style w:type="paragraph" w:customStyle="1" w:styleId="17">
    <w:name w:val="论文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FCF80-192E-47BB-816B-3E4272576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</Words>
  <Characters>1386</Characters>
  <Lines>11</Lines>
  <Paragraphs>3</Paragraphs>
  <TotalTime>2</TotalTime>
  <ScaleCrop>false</ScaleCrop>
  <LinksUpToDate>false</LinksUpToDate>
  <CharactersWithSpaces>1626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2023-10-24T07:19:00Z</dcterms:created>
  <dc:creator>User</dc:creator>
  <cp:lastModifiedBy>刘京</cp:lastModifiedBy>
  <dcterms:modified xsi:type="dcterms:W3CDTF">2023-11-17T08:46:20Z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6B2FA68CFD754653870893D39CF87316_12</vt:lpwstr>
  </property>
</Properties>
</file>