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6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</w:rPr>
        <w:t>﻿上限管制与加成管制能降低价格</w:t>
      </w:r>
      <w:bookmarkStart w:id="3" w:name="_GoBack"/>
      <w:r>
        <w:rPr>
          <w:rFonts w:hint="eastAsia" w:ascii="仿宋" w:hAnsi="仿宋" w:eastAsia="仿宋" w:cs="仿宋"/>
          <w:b/>
          <w:bCs w:val="0"/>
          <w:sz w:val="32"/>
          <w:szCs w:val="36"/>
        </w:rPr>
        <w:t>吗</w:t>
      </w:r>
      <w:bookmarkEnd w:id="3"/>
      <w:r>
        <w:rPr>
          <w:rFonts w:hint="eastAsia" w:ascii="仿宋" w:hAnsi="仿宋" w:eastAsia="仿宋" w:cs="仿宋"/>
          <w:b/>
          <w:bCs w:val="0"/>
          <w:sz w:val="32"/>
          <w:szCs w:val="36"/>
        </w:rPr>
        <w:t>?</w:t>
      </w:r>
    </w:p>
    <w:p>
      <w:pPr>
        <w:jc w:val="center"/>
        <w:rPr>
          <w:rFonts w:hint="default" w:ascii="仿宋" w:hAnsi="仿宋" w:eastAsia="仿宋" w:cstheme="majorBidi"/>
          <w:bCs/>
          <w:sz w:val="24"/>
          <w:szCs w:val="24"/>
        </w:rPr>
      </w:pPr>
    </w:p>
    <w:p>
      <w:pPr>
        <w:jc w:val="center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寇宗来 胡文皓 朱恒鹏 李三希</w:t>
      </w:r>
    </w:p>
    <w:p>
      <w:pPr>
        <w:jc w:val="center"/>
        <w:rPr>
          <w:rFonts w:hint="default" w:ascii="仿宋" w:hAnsi="仿宋" w:eastAsia="仿宋" w:cstheme="majorBidi"/>
          <w:bCs/>
          <w:sz w:val="24"/>
          <w:szCs w:val="24"/>
        </w:rPr>
      </w:pPr>
    </w:p>
    <w:p>
      <w:pPr>
        <w:pStyle w:val="46"/>
        <w:spacing w:line="240" w:lineRule="auto"/>
        <w:ind w:firstLine="643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录</w:t>
      </w:r>
    </w:p>
    <w:sdt>
      <w:sdtPr>
        <w:rPr>
          <w:lang w:val="zh-CN"/>
        </w:rPr>
        <w:id w:val="-1517074588"/>
        <w:docPartObj>
          <w:docPartGallery w:val="Table of Contents"/>
          <w:docPartUnique/>
        </w:docPartObj>
      </w:sdtPr>
      <w:sdtEndPr>
        <w:rPr>
          <w:rFonts w:hint="eastAsia" w:ascii="Arial Unicode MS" w:hAnsi="Arial Unicode MS" w:eastAsia="Times New Roman" w:cs="Arial Unicode MS"/>
          <w:color w:val="000000"/>
          <w:kern w:val="2"/>
          <w:sz w:val="21"/>
          <w:szCs w:val="21"/>
          <w:u w:color="000000"/>
          <w:lang w:val="en-US"/>
        </w:rPr>
      </w:sdtEndPr>
      <w:sdtContent>
        <w:p>
          <w:pPr>
            <w:pStyle w:val="44"/>
            <w:rPr>
              <w:rFonts w:hint="eastAsia"/>
            </w:rPr>
          </w:pPr>
        </w:p>
        <w:p>
          <w:pPr>
            <w:pStyle w:val="12"/>
            <w:widowControl/>
            <w:tabs>
              <w:tab w:val="right" w:leader="dot" w:pos="8306"/>
            </w:tabs>
            <w:spacing w:before="0" w:after="100" w:line="259" w:lineRule="auto"/>
            <w:rPr>
              <w:rFonts w:hint="default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TOC \o "1-3" \h \z \u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instrText xml:space="preserve"> HYPERLINK \l "_Toc148644431" </w:instrTex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  <w:lang w:val="zh-TW"/>
            </w:rPr>
            <w:t>附录I 命题2证明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fldChar w:fldCharType="end"/>
          </w:r>
        </w:p>
        <w:p>
          <w:pPr>
            <w:pStyle w:val="12"/>
            <w:widowControl/>
            <w:tabs>
              <w:tab w:val="right" w:leader="dot" w:pos="8306"/>
            </w:tabs>
            <w:spacing w:before="0" w:after="100" w:line="259" w:lineRule="auto"/>
            <w:rPr>
              <w:rFonts w:hint="default" w:hAnsiTheme="minorHAnsi" w:eastAsiaTheme="minorEastAsia" w:cstheme="minorBidi"/>
              <w:b w:val="0"/>
              <w:bCs w:val="0"/>
              <w:i/>
              <w:iCs/>
              <w:color w:val="auto"/>
              <w:sz w:val="21"/>
            </w:rPr>
          </w:pP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instrText xml:space="preserve"> HYPERLINK \l "_Toc148644432" </w:instrTex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  <w:lang w:val="zh-TW"/>
            </w:rPr>
            <w:t>附录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t>II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  <w:lang w:val="zh-TW"/>
            </w:rPr>
            <w:t>命题3证明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  <w:lang w:val="en-US" w:eastAsia="zh-CN"/>
            </w:rPr>
            <w:t>2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fldChar w:fldCharType="end"/>
          </w:r>
        </w:p>
        <w:p>
          <w:pPr>
            <w:pStyle w:val="12"/>
            <w:widowControl/>
            <w:tabs>
              <w:tab w:val="right" w:leader="dot" w:pos="8306"/>
            </w:tabs>
            <w:spacing w:before="0" w:after="100" w:line="259" w:lineRule="auto"/>
            <w:rPr>
              <w:rFonts w:hint="default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</w:pP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instrText xml:space="preserve"> HYPERLINK \l "_Toc148644433" </w:instrTex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  <w:lang w:val="zh-TW"/>
            </w:rPr>
            <w:t>附录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t>III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  <w:lang w:val="zh-TW"/>
            </w:rPr>
            <w:t>命题4证明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  <w:lang w:val="en-US" w:eastAsia="zh-CN"/>
            </w:rPr>
            <w:t>3</w:t>
          </w:r>
          <w:r>
            <w:rPr>
              <w:rFonts w:hint="eastAsia" w:ascii="仿宋" w:hAnsi="仿宋" w:eastAsia="仿宋" w:cs="仿宋"/>
              <w:b w:val="0"/>
              <w:bCs w:val="0"/>
              <w:i w:val="0"/>
              <w:iCs w:val="0"/>
              <w:caps w:val="0"/>
              <w:kern w:val="0"/>
              <w:sz w:val="22"/>
              <w:szCs w:val="22"/>
            </w:rPr>
            <w:fldChar w:fldCharType="end"/>
          </w:r>
        </w:p>
        <w:p>
          <w:r>
            <w:rPr>
              <w:b/>
              <w:bCs/>
            </w:rPr>
            <w:fldChar w:fldCharType="end"/>
          </w:r>
        </w:p>
      </w:sdtContent>
    </w:sdt>
    <w:p>
      <w:pPr>
        <w:jc w:val="center"/>
        <w:rPr>
          <w:rFonts w:ascii="仿宋" w:hAnsi="仿宋" w:eastAsia="仿宋" w:cstheme="majorBidi"/>
          <w:bCs/>
          <w:sz w:val="24"/>
          <w:szCs w:val="24"/>
        </w:rPr>
      </w:pPr>
    </w:p>
    <w:p>
      <w:pPr>
        <w:jc w:val="center"/>
        <w:rPr>
          <w:rFonts w:ascii="仿宋" w:hAnsi="仿宋" w:eastAsia="仿宋" w:cstheme="majorBidi"/>
          <w:bCs/>
          <w:sz w:val="24"/>
          <w:szCs w:val="24"/>
        </w:rPr>
      </w:pPr>
    </w:p>
    <w:p>
      <w:pPr>
        <w:jc w:val="center"/>
        <w:rPr>
          <w:rFonts w:ascii="仿宋" w:hAnsi="仿宋" w:eastAsia="仿宋" w:cs="Times New Roman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9"/>
        <w:spacing w:before="312" w:after="312"/>
        <w:jc w:val="center"/>
        <w:rPr>
          <w:rFonts w:hint="eastAsia" w:ascii="楷体" w:hAnsi="楷体" w:eastAsia="楷体" w:cs="楷体"/>
          <w:lang w:val="zh-TW"/>
        </w:rPr>
      </w:pPr>
      <w:bookmarkStart w:id="0" w:name="_Toc148644431"/>
      <w:r>
        <w:rPr>
          <w:rFonts w:hint="eastAsia" w:ascii="楷体" w:hAnsi="楷体" w:eastAsia="楷体" w:cs="楷体"/>
          <w:lang w:val="zh-TW"/>
        </w:rPr>
        <w:t>附录I 命题2证明</w:t>
      </w:r>
      <w:bookmarkEnd w:id="0"/>
    </w:p>
    <w:p>
      <w:pPr>
        <w:spacing w:before="156" w:beforeLines="50" w:line="288" w:lineRule="auto"/>
        <w:ind w:firstLine="420" w:firstLineChars="200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给定假设</w:t>
      </w:r>
      <m:oMath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&lt;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，上述问题的最优解为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，行业最大利润为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=(1−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)(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。故由引理1，此时零售商最优定价为</w:t>
      </w:r>
      <m:oMath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min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⁡(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,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nor/>
                <m:sty m:val="p"/>
              </m:rPr>
              <w:rPr>
                <w:rFonts w:hint="default" w:ascii="仿宋" w:hAnsi="仿宋" w:eastAsia="仿宋" w:cs="Times New Roman"/>
                <w:b w:val="0"/>
                <w:i w:val="0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。要使得</w:t>
      </w:r>
      <m:oMath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，只需要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。因为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，而由假设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nor/>
                <m:sty m:val="p"/>
              </m:rPr>
              <w:rPr>
                <w:rFonts w:hint="default" w:ascii="仿宋" w:hAnsi="仿宋" w:eastAsia="仿宋" w:cs="Times New Roman"/>
                <w:b w:val="0"/>
                <w:i w:val="0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可得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nor/>
                <m:sty m:val="p"/>
              </m:rPr>
              <w:rPr>
                <w:rFonts w:hint="default" w:ascii="仿宋" w:hAnsi="仿宋" w:eastAsia="仿宋" w:cs="Times New Roman"/>
                <w:b w:val="0"/>
                <w:i w:val="0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在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时恒成立。由受限品制造商净利润为零可得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=(1−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)(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line="288" w:lineRule="auto"/>
        <w:ind w:firstLine="420" w:firstLineChars="200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如果零售商采购非限品，则不受任何价格管制，使得行业利润最大的价格为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box>
          <m:box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ox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，行业最大利润为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box>
              <m:box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4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box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(1−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。由</w:t>
      </w:r>
      <m:oMath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可得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。由</w:t>
      </w:r>
      <w:r>
        <w:rPr>
          <w:rFonts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引理2</w:t>
      </w: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，若非限品赢得竞争，其净利润为</w:t>
      </w:r>
      <m:oMath>
        <m:sSubSup>
          <m:sSub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。注意到</w:t>
      </w:r>
      <m:oMath>
        <m:sSubSup>
          <m:sSub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=(1−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)⋅(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，从而可以解得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−</m:t>
            </m:r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=(1−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)(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)−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(1−</m:t>
                </m:r>
                <m:sSub>
                  <m:sSub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b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)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spacing w:line="288" w:lineRule="auto"/>
        <w:ind w:firstLine="420" w:firstLineChars="200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不妨定义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≡1−2</m:t>
        </m:r>
        <m:rad>
          <m:radPr>
            <m:degHide m:val="1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(1−</m:t>
            </m:r>
            <m:bar>
              <m:barPr>
                <m:pos m:val="top"/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bar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ba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)(</m:t>
            </m:r>
            <m:bar>
              <m:barPr>
                <m:pos m:val="top"/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bar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ba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−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满足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即</w:t>
      </w:r>
      <m:oMath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1−</m:t>
            </m:r>
            <m:bar>
              <m:barPr>
                <m:pos m:val="top"/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bar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ba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bar>
              <m:barPr>
                <m:pos m:val="top"/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bar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ba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−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box>
              <m:box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4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box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(1−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。由于</w:t>
      </w:r>
      <m:oMath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≤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，易知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是</w:t>
      </w:r>
      <m:oMath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的减函数。故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&gt;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时，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&lt;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，受限品赢得竞争；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≤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时，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，非限品赢得竞争。</w:t>
      </w:r>
    </w:p>
    <w:p>
      <w:pP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19"/>
        <w:spacing w:before="312" w:after="312"/>
        <w:jc w:val="center"/>
        <w:rPr>
          <w:rFonts w:hint="eastAsia" w:ascii="楷体" w:hAnsi="楷体" w:eastAsia="楷体" w:cs="楷体"/>
          <w:lang w:val="zh-TW"/>
        </w:rPr>
      </w:pPr>
      <w:bookmarkStart w:id="1" w:name="_Toc148644432"/>
      <w:r>
        <w:rPr>
          <w:rFonts w:hint="eastAsia" w:ascii="楷体" w:hAnsi="楷体" w:eastAsia="楷体" w:cs="楷体"/>
          <w:lang w:val="zh-TW"/>
        </w:rPr>
        <w:t>附录</w:t>
      </w:r>
      <w:r>
        <w:rPr>
          <w:rFonts w:hint="eastAsia" w:ascii="楷体" w:hAnsi="楷体" w:eastAsia="楷体" w:cs="楷体"/>
        </w:rPr>
        <w:t>II</w:t>
      </w:r>
      <w:r>
        <w:rPr>
          <w:rFonts w:hint="eastAsia" w:ascii="楷体" w:hAnsi="楷体" w:eastAsia="楷体" w:cs="楷体"/>
          <w:lang w:val="zh-TW"/>
        </w:rPr>
        <w:t xml:space="preserve"> 命题3证明</w:t>
      </w:r>
      <w:bookmarkEnd w:id="1"/>
    </w:p>
    <w:p>
      <w:pPr>
        <w:spacing w:before="156" w:beforeLines="50" w:line="288" w:lineRule="auto"/>
        <w:ind w:firstLine="420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均衡时，有</w:t>
      </w:r>
      <m:oMath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，即有</w:t>
      </w:r>
      <m:oMath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mi</m:t>
        </m:r>
        <m:func>
          <m:func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n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d>
              <m:d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d>
                  <m:d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1+</m:t>
                    </m:r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sSub>
                  <m:sSub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c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,</m:t>
                </m:r>
                <m:f>
                  <m:f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1+</m:t>
                    </m:r>
                    <m:sSub>
                      <m:sSubP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c</m:t>
                        </m: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1</m:t>
                        </m: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func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。不难得到：</w:t>
      </w:r>
    </w:p>
    <w:p>
      <w:pPr>
        <w:spacing w:before="156" w:beforeLines="50" w:line="288" w:lineRule="auto"/>
        <w:ind w:firstLine="440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 xml:space="preserve"> 当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)≤(1+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，即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时，</w:t>
      </w:r>
      <m:oMath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mi</m:t>
        </m:r>
        <m:func>
          <m:func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n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d>
              <m:d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d>
                  <m:d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1+</m:t>
                    </m:r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sSub>
                  <m:sSub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c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,</m:t>
                </m:r>
                <m:f>
                  <m:f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1+</m:t>
                    </m:r>
                    <m:sSub>
                      <m:sSubP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c</m:t>
                        </m: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1</m:t>
                        </m: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func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，零售商的最优零售价实际并不会受到加成管制的影响。此时</w:t>
      </w:r>
      <m:oMath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等价于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，易得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=0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。条件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等价于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line="288" w:lineRule="auto"/>
        <w:ind w:firstLine="440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Times New Roman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 xml:space="preserve"> 当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)&gt;(1+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，即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&lt;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时，</w:t>
      </w:r>
      <m:oMath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mi</m:t>
        </m:r>
        <m:func>
          <m:func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n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d>
              <m:d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d>
                  <m:d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1+</m:t>
                    </m:r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sSub>
                  <m:sSub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c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,</m:t>
                </m:r>
                <m:f>
                  <m:f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1+</m:t>
                    </m:r>
                    <m:sSub>
                      <m:sSubP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c</m:t>
                        </m: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1</m:t>
                        </m: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func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，加成管制的约束为紧。此时</w:t>
      </w:r>
      <m:oMath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等价于</w:t>
      </w:r>
      <m:oMath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，易得均衡时</w:t>
      </w:r>
      <m:oMath>
        <m:sSubSup>
          <m:sSub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2(1+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</w:t>
      </w:r>
      <m:oMath>
        <m:sSubSup>
          <m:sSub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1−</m:t>
            </m:r>
            <m:d>
              <m:d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1+</m:t>
                </m:r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m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−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4(1+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)(1−(1+2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。条件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&lt;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等价于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2(1+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)&lt;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，即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&lt;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line="288" w:lineRule="auto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88" w:lineRule="auto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19"/>
        <w:spacing w:before="312" w:after="312"/>
        <w:jc w:val="center"/>
        <w:rPr>
          <w:rFonts w:hint="default"/>
          <w:lang w:val="zh-TW"/>
        </w:rPr>
      </w:pPr>
      <w:bookmarkStart w:id="2" w:name="_Toc148644433"/>
      <w:r>
        <w:rPr>
          <w:lang w:val="zh-TW"/>
        </w:rPr>
        <w:t>附录</w:t>
      </w:r>
      <w:r>
        <w:rPr>
          <w:rFonts w:hint="default" w:eastAsia="PMingLiU"/>
        </w:rPr>
        <w:t>III</w:t>
      </w:r>
      <w:r>
        <w:rPr>
          <w:lang w:val="zh-TW"/>
        </w:rPr>
        <w:t xml:space="preserve"> 命题4证明</w:t>
      </w:r>
      <w:bookmarkEnd w:id="2"/>
    </w:p>
    <w:p>
      <w:pPr>
        <w:spacing w:before="156" w:beforeLines="50" w:line="288" w:lineRule="auto"/>
        <w:ind w:firstLine="442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分两种情况讨论。</w:t>
      </w:r>
    </w:p>
    <w:p>
      <w:pPr>
        <w:spacing w:before="156" w:beforeLines="50" w:line="288" w:lineRule="auto"/>
        <w:ind w:firstLine="442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当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&gt;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时，受限品赢得竞争，最终零售价为</w:t>
      </w:r>
      <m:oMath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，以便让行业利润最大化。由引理1，零售商的最终定价为</w:t>
      </w:r>
      <m:oMath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min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⁡((1+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,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,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，故要实现</w:t>
      </w:r>
      <m:oMath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，必须有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 xml:space="preserve"> 以及</w:t>
      </w:r>
      <m:oMath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。给定假设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，而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，故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恒成立。进一步，受限品制造商只要制定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func>
          <m:func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max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(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func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,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，就会有</w:t>
      </w:r>
      <m:oMath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或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，而最终零售商也会选择行业利润最大化的价格</w:t>
      </w:r>
      <m:oMath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。与此对应，租金为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=(1−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)(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line="288" w:lineRule="auto"/>
        <w:ind w:firstLine="440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当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≤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时，非限品赢得竞争，而为使行业利润最大化，零售商所设定的最终定价为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。但由引理1，零售商定价也为</w:t>
      </w:r>
      <m:oMath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min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⁡((1+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,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，故由</w:t>
      </w:r>
      <m:oMath>
        <m:sSup>
          <m:s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可得</w:t>
      </w:r>
      <m:oMath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min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⁡((1+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,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。这样，具体分析</w:t>
      </w:r>
      <w:r>
        <w:rPr>
          <w:rFonts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又</w:t>
      </w: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有两种情况：</w:t>
      </w:r>
    </w:p>
    <w:p>
      <w:pPr>
        <w:spacing w:before="156" w:beforeLines="50" w:line="288" w:lineRule="auto"/>
        <w:ind w:firstLine="420" w:firstLineChars="200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当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)≤(1+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，即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时，</w:t>
      </w:r>
      <w:r>
        <w:rPr>
          <w:rFonts w:hint="cs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加成管制的约束条件是松弛的</w:t>
      </w: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mi</m:t>
        </m:r>
        <m:func>
          <m:func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n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d>
              <m:d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d>
                  <m:d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1+</m:t>
                    </m:r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sSub>
                  <m:sSub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c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,</m:t>
                </m:r>
                <m:f>
                  <m:f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>
                        <m:nor/>
                        <m:sty m:val="p"/>
                      </m:rPr>
                      <w:rPr>
                        <w:rFonts w:hint="default" w:ascii="仿宋" w:hAnsi="仿宋" w:eastAsia="仿宋" w:cs="Times New Roman"/>
                        <w:b w:val="0"/>
                        <w:i w:val="0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1+</m:t>
                    </m:r>
                    <m:sSub>
                      <m:sSubP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c</m:t>
                        </m: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func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nor/>
                <m:sty m:val="p"/>
              </m:rPr>
              <w:rPr>
                <w:rFonts w:hint="default" w:ascii="仿宋" w:hAnsi="仿宋" w:eastAsia="仿宋" w:cs="Times New Roman"/>
                <w:b w:val="0"/>
                <w:i w:val="0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，故有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nor/>
                <m:sty m:val="p"/>
              </m:rPr>
              <w:rPr>
                <w:rFonts w:hint="default" w:ascii="仿宋" w:hAnsi="仿宋" w:eastAsia="仿宋" w:cs="Times New Roman"/>
                <w:b w:val="0"/>
                <w:i w:val="0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，进而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+</m:t>
        </m:r>
        <m:sSubSup>
          <m:sSub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=(1−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)(</m:t>
        </m:r>
        <m:bar>
          <m:barPr>
            <m:pos m:val="top"/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)−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(1−</m:t>
                </m:r>
                <m:sSub>
                  <m:sSub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b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)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。既然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，则条件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等价于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≥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line="288" w:lineRule="auto"/>
        <w:ind w:firstLine="420" w:firstLineChars="200"/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Times New Roman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当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&lt;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时，加成管制约束是紧的，</w:t>
      </w:r>
      <m:oMath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mi</m:t>
        </m:r>
        <m:func>
          <m:func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n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d>
              <m:d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d>
                  <m:d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1+</m:t>
                    </m:r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sSub>
                  <m:sSub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c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,</m:t>
                </m:r>
                <m:f>
                  <m:f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>
                        <m:nor/>
                        <m:sty m:val="p"/>
                      </m:rPr>
                      <w:rPr>
                        <w:rFonts w:hint="default" w:ascii="仿宋" w:hAnsi="仿宋" w:eastAsia="仿宋" w:cs="Times New Roman"/>
                        <w:b w:val="0"/>
                        <w:i w:val="0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1+</m:t>
                    </m:r>
                    <m:sSub>
                      <m:sSubP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c</m:t>
                        </m: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Fonts w:hint="default" w:ascii="Cambria Math" w:hAnsi="Cambria Math" w:eastAsia="仿宋" w:cs="Times New Roman"/>
                            <w:color w:val="000000" w:themeColor="text1"/>
                            <w:lang w:val="zh-TW" w:eastAsia="zh-TW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func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，故有</w:t>
      </w:r>
      <m:oMath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nor/>
                <m:sty m:val="p"/>
              </m:rPr>
              <w:rPr>
                <w:rFonts w:hint="default" w:ascii="仿宋" w:hAnsi="仿宋" w:eastAsia="仿宋" w:cs="Times New Roman"/>
                <w:b w:val="0"/>
                <w:i w:val="0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，进而有</w:t>
      </w:r>
      <m:oMath>
        <m:sSubSup>
          <m:sSub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2(1+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</w:t>
      </w:r>
      <m:oMath>
        <m:sSubSup>
          <m:sSub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1−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⋅</m:t>
        </m:r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−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(1−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)(1−(1+2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4(1+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acc>
              <m:acc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+</m:t>
        </m:r>
        <m:sSubSup>
          <m:sSubSup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4(1+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(1−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)(1−(1+2</m:t>
        </m:r>
        <m:r>
          <m:rPr/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)+</m:t>
        </m:r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1−</m:t>
            </m:r>
            <m:bar>
              <m:barPr>
                <m:pos m:val="top"/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bar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ba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d>
          <m:d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bar>
              <m:barPr>
                <m:pos m:val="top"/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bar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p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ba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−</m:t>
            </m:r>
            <m:sSub>
              <m:sSub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−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(1−</m:t>
                </m:r>
                <m:sSub>
                  <m:sSubP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b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eastAsia="仿宋" w:cs="Times New Roman"/>
                        <w:color w:val="000000" w:themeColor="text1"/>
                        <w:lang w:val="zh-TW" w:eastAsia="zh-TW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)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仿宋" w:cs="Times New Roman"/>
                    <w:color w:val="000000" w:themeColor="text1"/>
                    <w:lang w:val="zh-TW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eastAsia="仿宋" w:cs="Times New Roman"/>
                    <w:color w:val="000000" w:themeColor="text1"/>
                    <w:lang w:val="zh-TW" w:eastAsia="zh-TW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，而条件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&lt;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等价于</w:t>
      </w:r>
      <m:oMath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2(1+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(1+</m:t>
        </m:r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)&lt;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，即</w:t>
      </w:r>
      <m:oMath>
        <m:sSub>
          <m:sSub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仿宋" w:cs="Times New Roman"/>
            <w:color w:val="000000" w:themeColor="text1"/>
            <w:lang w:val="zh-TW"/>
            <w14:textFill>
              <w14:solidFill>
                <w14:schemeClr w14:val="tx1"/>
              </w14:solidFill>
            </w14:textFill>
          </w:rPr>
          <m:t>&lt;</m:t>
        </m:r>
        <m:f>
          <m:fP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1+2</m:t>
            </m:r>
            <m:r>
              <m:rPr/>
              <w:rPr>
                <w:rFonts w:hint="default" w:ascii="Cambria Math" w:hAnsi="Cambria Math" w:eastAsia="仿宋" w:cs="Times New Roman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hint="default" w:ascii="Cambria Math" w:hAnsi="Cambria Math" w:eastAsia="仿宋" w:cs="Times New Roman"/>
                <w:color w:val="000000" w:themeColor="text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仿宋" w:hAnsi="仿宋" w:eastAsia="仿宋" w:cs="Times New Roman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ascii="宋体" w:hAnsi="宋体" w:cs="Arial"/>
          <w:b/>
          <w:bCs/>
          <w:color w:val="auto"/>
          <w:kern w:val="0"/>
          <w:szCs w:val="21"/>
        </w:rPr>
      </w:pPr>
      <w:r>
        <w:rPr>
          <w:rFonts w:hint="eastAsia" w:ascii="Calibri" w:hAnsi="Calibri" w:cs="Times New Roman"/>
          <w:b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cs="Arial"/>
          <w:b/>
          <w:bCs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下载出处</w:t>
      </w:r>
      <w:r>
        <w:rPr>
          <w:rFonts w:hint="eastAsia" w:ascii="宋体" w:hAnsi="宋体" w:cs="Arial"/>
          <w:color w:val="auto"/>
          <w:kern w:val="0"/>
          <w:szCs w:val="21"/>
        </w:rPr>
        <w:t>。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DY42 + ZGAPOe-42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4"/>
        <w:rFonts w:hint="default"/>
      </w:rPr>
      <w:id w:val="-49533454"/>
      <w:docPartObj>
        <w:docPartGallery w:val="autotext"/>
      </w:docPartObj>
    </w:sdtPr>
    <w:sdtEndPr>
      <w:rPr>
        <w:rStyle w:val="24"/>
        <w:rFonts w:hint="default"/>
      </w:rPr>
    </w:sdtEndPr>
    <w:sdtContent>
      <w:p>
        <w:pPr>
          <w:pStyle w:val="10"/>
          <w:framePr w:wrap="auto" w:vAnchor="text" w:hAnchor="margin" w:xAlign="center" w:y="1"/>
          <w:rPr>
            <w:rStyle w:val="24"/>
            <w:rFonts w:hint="default"/>
          </w:rPr>
        </w:pPr>
      </w:p>
    </w:sdtContent>
  </w:sdt>
  <w:p>
    <w:pPr>
      <w:pStyle w:val="10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4"/>
        <w:rFonts w:hint="default"/>
      </w:rPr>
      <w:id w:val="-1599561393"/>
      <w:docPartObj>
        <w:docPartGallery w:val="autotext"/>
      </w:docPartObj>
    </w:sdtPr>
    <w:sdtEndPr>
      <w:rPr>
        <w:rStyle w:val="24"/>
        <w:rFonts w:hint="default"/>
      </w:rPr>
    </w:sdtEndPr>
    <w:sdtContent>
      <w:p>
        <w:pPr>
          <w:pStyle w:val="10"/>
          <w:framePr w:wrap="auto" w:vAnchor="text" w:hAnchor="margin" w:xAlign="center" w:y="1"/>
          <w:rPr>
            <w:rStyle w:val="24"/>
            <w:rFonts w:hint="default"/>
          </w:rPr>
        </w:pPr>
        <w:r>
          <w:rPr>
            <w:rStyle w:val="24"/>
            <w:rFonts w:hint="default"/>
          </w:rPr>
          <w:fldChar w:fldCharType="begin"/>
        </w:r>
        <w:r>
          <w:rPr>
            <w:rStyle w:val="24"/>
            <w:rFonts w:hint="default"/>
          </w:rPr>
          <w:instrText xml:space="preserve"> PAGE </w:instrText>
        </w:r>
        <w:r>
          <w:rPr>
            <w:rStyle w:val="24"/>
            <w:rFonts w:hint="default"/>
          </w:rPr>
          <w:fldChar w:fldCharType="end"/>
        </w:r>
      </w:p>
    </w:sdtContent>
  </w:sdt>
  <w:p>
    <w:pPr>
      <w:pStyle w:val="10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Style w:val="24"/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Style w:val="24"/>
          <w:rFonts w:hint="default"/>
        </w:rPr>
        <w:id w:val="-49533454"/>
        <w:docPartObj>
          <w:docPartGallery w:val="autotext"/>
        </w:docPartObj>
      </w:sdtPr>
      <w:sdtEndPr>
        <w:rPr>
          <w:rStyle w:val="24"/>
          <w:rFonts w:hint="default"/>
        </w:rPr>
      </w:sdtEndPr>
      <w:sdtContent/>
    </w:sdt>
  </w:p>
  <w:p>
    <w:pPr>
      <w:pStyle w:val="10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default" w:eastAsia="宋体"/>
        <w:lang w:val="en-US" w:eastAsia="zh-CN"/>
      </w:rPr>
    </w:pPr>
    <w:r>
      <w:rPr>
        <w:rFonts w:hint="eastAsia" w:ascii="仿宋" w:hAnsi="仿宋" w:eastAsia="仿宋" w:cs="仿宋"/>
        <w:lang w:eastAsia="zh-CN"/>
      </w:rPr>
      <w:t>《</w:t>
    </w:r>
    <w:r>
      <w:rPr>
        <w:rFonts w:hint="eastAsia" w:ascii="仿宋" w:hAnsi="仿宋" w:eastAsia="仿宋" w:cs="仿宋"/>
        <w:lang w:val="en-US" w:eastAsia="zh-CN"/>
      </w:rPr>
      <w:t>经济学</w:t>
    </w:r>
    <w:r>
      <w:rPr>
        <w:rFonts w:hint="eastAsia" w:ascii="仿宋" w:hAnsi="仿宋" w:eastAsia="仿宋" w:cs="仿宋"/>
        <w:lang w:eastAsia="zh-CN"/>
      </w:rPr>
      <w:t>》（</w:t>
    </w:r>
    <w:r>
      <w:rPr>
        <w:rFonts w:hint="eastAsia" w:ascii="仿宋" w:hAnsi="仿宋" w:eastAsia="仿宋" w:cs="仿宋"/>
        <w:lang w:val="en-US" w:eastAsia="zh-CN"/>
      </w:rPr>
      <w:t>季刊</w:t>
    </w:r>
    <w:r>
      <w:rPr>
        <w:rFonts w:hint="eastAsia" w:ascii="仿宋" w:hAnsi="仿宋" w:eastAsia="仿宋" w:cs="仿宋"/>
        <w:lang w:eastAsia="zh-CN"/>
      </w:rPr>
      <w:t>）</w:t>
    </w:r>
    <w:r>
      <w:rPr>
        <w:rFonts w:hint="eastAsia" w:ascii="仿宋" w:hAnsi="仿宋" w:eastAsia="仿宋" w:cs="仿宋"/>
        <w:lang w:val="en-US" w:eastAsia="zh-CN"/>
      </w:rPr>
      <w:t xml:space="preserve">                                                               2023年第6期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TY5MzAxODJhZDAxMGMwZGQwZTA0ZDg0NjA2ZDkifQ=="/>
  </w:docVars>
  <w:rsids>
    <w:rsidRoot w:val="007E67D6"/>
    <w:rsid w:val="000656AB"/>
    <w:rsid w:val="001464E3"/>
    <w:rsid w:val="001C4E78"/>
    <w:rsid w:val="0024037D"/>
    <w:rsid w:val="003056D5"/>
    <w:rsid w:val="005405DB"/>
    <w:rsid w:val="007A6AF9"/>
    <w:rsid w:val="007E67D6"/>
    <w:rsid w:val="00B93E9E"/>
    <w:rsid w:val="00F14C0F"/>
    <w:rsid w:val="1C183B1D"/>
    <w:rsid w:val="74443EA5"/>
    <w:rsid w:val="764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semiHidden/>
    <w:unhideWhenUsed/>
    <w:qFormat/>
    <w:uiPriority w:val="39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toc 5"/>
    <w:basedOn w:val="1"/>
    <w:next w:val="1"/>
    <w:semiHidden/>
    <w:unhideWhenUsed/>
    <w:qFormat/>
    <w:uiPriority w:val="39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8">
    <w:name w:val="toc 8"/>
    <w:basedOn w:val="1"/>
    <w:next w:val="1"/>
    <w:semiHidden/>
    <w:unhideWhenUsed/>
    <w:qFormat/>
    <w:uiPriority w:val="39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13">
    <w:name w:val="toc 4"/>
    <w:basedOn w:val="1"/>
    <w:next w:val="1"/>
    <w:semiHidden/>
    <w:unhideWhenUsed/>
    <w:qFormat/>
    <w:uiPriority w:val="39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ind w:firstLine="200" w:firstLineChars="200"/>
      <w:outlineLvl w:val="1"/>
    </w:pPr>
    <w:rPr>
      <w:rFonts w:hint="default" w:eastAsia="仿宋" w:asciiTheme="minorHAnsi" w:hAnsiTheme="minorHAnsi" w:cstheme="minorBidi"/>
      <w:bCs/>
      <w:kern w:val="28"/>
      <w:szCs w:val="32"/>
    </w:rPr>
  </w:style>
  <w:style w:type="paragraph" w:styleId="15">
    <w:name w:val="footnote text"/>
    <w:link w:val="33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2"/>
      <w:sz w:val="18"/>
      <w:szCs w:val="18"/>
      <w:u w:color="000000"/>
      <w:lang w:val="en-US" w:eastAsia="zh-CN" w:bidi="ar-SA"/>
    </w:rPr>
  </w:style>
  <w:style w:type="paragraph" w:styleId="16">
    <w:name w:val="toc 6"/>
    <w:basedOn w:val="1"/>
    <w:next w:val="1"/>
    <w:semiHidden/>
    <w:unhideWhenUsed/>
    <w:qFormat/>
    <w:uiPriority w:val="39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17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8">
    <w:name w:val="toc 9"/>
    <w:basedOn w:val="1"/>
    <w:next w:val="1"/>
    <w:semiHidden/>
    <w:unhideWhenUsed/>
    <w:qFormat/>
    <w:uiPriority w:val="39"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19">
    <w:name w:val="Title"/>
    <w:basedOn w:val="1"/>
    <w:next w:val="1"/>
    <w:link w:val="34"/>
    <w:qFormat/>
    <w:uiPriority w:val="10"/>
    <w:pPr>
      <w:spacing w:before="100" w:beforeLines="100" w:after="100" w:afterLines="100"/>
      <w:jc w:val="center"/>
      <w:outlineLvl w:val="0"/>
    </w:pPr>
    <w:rPr>
      <w:rFonts w:ascii="Times New Roman" w:hAnsi="Times New Roman" w:eastAsia="楷体" w:cstheme="majorBidi"/>
      <w:bCs/>
      <w:sz w:val="28"/>
      <w:szCs w:val="32"/>
    </w:rPr>
  </w:style>
  <w:style w:type="paragraph" w:styleId="20">
    <w:name w:val="annotation subject"/>
    <w:basedOn w:val="5"/>
    <w:next w:val="5"/>
    <w:link w:val="3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semiHidden/>
    <w:unhideWhenUsed/>
    <w:qFormat/>
    <w:uiPriority w:val="99"/>
  </w:style>
  <w:style w:type="character" w:styleId="25">
    <w:name w:val="Hyperlink"/>
    <w:qFormat/>
    <w:uiPriority w:val="99"/>
    <w:rPr>
      <w:u w:val="single"/>
    </w:rPr>
  </w:style>
  <w:style w:type="character" w:styleId="26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styleId="27">
    <w:name w:val="footnote reference"/>
    <w:basedOn w:val="23"/>
    <w:semiHidden/>
    <w:unhideWhenUsed/>
    <w:qFormat/>
    <w:uiPriority w:val="99"/>
    <w:rPr>
      <w:vertAlign w:val="superscript"/>
    </w:rPr>
  </w:style>
  <w:style w:type="character" w:customStyle="1" w:styleId="28">
    <w:name w:val="批注文字 字符"/>
    <w:basedOn w:val="23"/>
    <w:link w:val="5"/>
    <w:semiHidden/>
    <w:qFormat/>
    <w:uiPriority w:val="99"/>
    <w:rPr>
      <w:rFonts w:ascii="Arial Unicode MS" w:hAnsi="Arial Unicode MS" w:eastAsia="Times New Roman" w:cs="Arial Unicode MS"/>
      <w:color w:val="000000"/>
      <w:sz w:val="21"/>
      <w:szCs w:val="21"/>
      <w:u w:color="000000"/>
    </w:rPr>
  </w:style>
  <w:style w:type="character" w:customStyle="1" w:styleId="29">
    <w:name w:val="批注框文本 字符"/>
    <w:basedOn w:val="23"/>
    <w:link w:val="9"/>
    <w:semiHidden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</w:rPr>
  </w:style>
  <w:style w:type="character" w:customStyle="1" w:styleId="30">
    <w:name w:val="页脚 字符"/>
    <w:basedOn w:val="23"/>
    <w:link w:val="10"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</w:rPr>
  </w:style>
  <w:style w:type="character" w:customStyle="1" w:styleId="31">
    <w:name w:val="页眉 字符"/>
    <w:basedOn w:val="23"/>
    <w:link w:val="11"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</w:rPr>
  </w:style>
  <w:style w:type="character" w:customStyle="1" w:styleId="32">
    <w:name w:val="副标题 字符"/>
    <w:basedOn w:val="23"/>
    <w:link w:val="14"/>
    <w:qFormat/>
    <w:uiPriority w:val="11"/>
    <w:rPr>
      <w:rFonts w:asciiTheme="minorHAnsi" w:hAnsiTheme="minorHAnsi" w:cstheme="minorBidi"/>
      <w:bCs/>
      <w:color w:val="000000"/>
      <w:kern w:val="28"/>
      <w:sz w:val="21"/>
      <w:szCs w:val="32"/>
      <w:u w:color="000000"/>
    </w:rPr>
  </w:style>
  <w:style w:type="character" w:customStyle="1" w:styleId="33">
    <w:name w:val="脚注文本 字符"/>
    <w:basedOn w:val="23"/>
    <w:link w:val="15"/>
    <w:qFormat/>
    <w:uiPriority w:val="0"/>
    <w:rPr>
      <w:rFonts w:eastAsia="Times New Roman" w:cs="Times New Roman"/>
      <w:color w:val="000000"/>
      <w:sz w:val="18"/>
      <w:szCs w:val="18"/>
      <w:u w:color="000000"/>
    </w:rPr>
  </w:style>
  <w:style w:type="character" w:customStyle="1" w:styleId="34">
    <w:name w:val="标题 字符"/>
    <w:basedOn w:val="23"/>
    <w:link w:val="19"/>
    <w:qFormat/>
    <w:uiPriority w:val="10"/>
    <w:rPr>
      <w:rFonts w:eastAsia="楷体" w:cstheme="majorBidi"/>
      <w:bCs/>
      <w:color w:val="000000"/>
      <w:sz w:val="28"/>
      <w:szCs w:val="32"/>
      <w:u w:color="000000"/>
    </w:rPr>
  </w:style>
  <w:style w:type="character" w:customStyle="1" w:styleId="35">
    <w:name w:val="批注主题 字符"/>
    <w:basedOn w:val="28"/>
    <w:link w:val="20"/>
    <w:semiHidden/>
    <w:qFormat/>
    <w:uiPriority w:val="99"/>
    <w:rPr>
      <w:rFonts w:ascii="Arial Unicode MS" w:hAnsi="Arial Unicode MS" w:eastAsia="Times New Roman" w:cs="Arial Unicode MS"/>
      <w:b/>
      <w:bCs/>
      <w:color w:val="000000"/>
      <w:sz w:val="21"/>
      <w:szCs w:val="21"/>
      <w:u w:color="000000"/>
    </w:rPr>
  </w:style>
  <w:style w:type="table" w:customStyle="1" w:styleId="36">
    <w:name w:val="Table Normal1"/>
    <w:qFormat/>
    <w:uiPriority w:val="0"/>
    <w:rPr>
      <w:rFonts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38">
    <w:name w:val="默认"/>
    <w:qFormat/>
    <w:uiPriority w:val="0"/>
    <w:rPr>
      <w:rFonts w:ascii="Helvetica Neue" w:hAnsi="Helvetica Neue" w:eastAsia="Helvetica Neue" w:cs="Helvetica Neue"/>
      <w:color w:val="000000"/>
      <w:kern w:val="0"/>
      <w:sz w:val="22"/>
      <w:szCs w:val="22"/>
      <w:lang w:val="en-US" w:eastAsia="zh-CN" w:bidi="ar-SA"/>
    </w:rPr>
  </w:style>
  <w:style w:type="paragraph" w:styleId="39">
    <w:name w:val="List Paragraph"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styleId="40">
    <w:name w:val="Placeholder Text"/>
    <w:basedOn w:val="23"/>
    <w:semiHidden/>
    <w:qFormat/>
    <w:uiPriority w:val="99"/>
    <w:rPr>
      <w:color w:val="808080"/>
    </w:rPr>
  </w:style>
  <w:style w:type="character" w:customStyle="1" w:styleId="41">
    <w:name w:val="fontstyle01"/>
    <w:basedOn w:val="23"/>
    <w:qFormat/>
    <w:uiPriority w:val="0"/>
    <w:rPr>
      <w:rFonts w:ascii="仿宋" w:hAnsi="仿宋" w:eastAsia="仿宋" w:cs="仿宋"/>
      <w:color w:val="000000"/>
      <w:sz w:val="36"/>
      <w:szCs w:val="36"/>
    </w:rPr>
  </w:style>
  <w:style w:type="character" w:customStyle="1" w:styleId="42">
    <w:name w:val="fontstyle11"/>
    <w:basedOn w:val="23"/>
    <w:qFormat/>
    <w:uiPriority w:val="0"/>
    <w:rPr>
      <w:rFonts w:ascii="DY42 + ZGAPOe-42" w:hAnsi="DY42 + ZGAPOe-42" w:eastAsia="DY42 + ZGAPOe-42" w:cs="DY42 + ZGAPOe-42"/>
      <w:color w:val="000000"/>
      <w:sz w:val="36"/>
      <w:szCs w:val="36"/>
    </w:rPr>
  </w:style>
  <w:style w:type="character" w:customStyle="1" w:styleId="43">
    <w:name w:val="标题 1 字符"/>
    <w:basedOn w:val="23"/>
    <w:link w:val="2"/>
    <w:qFormat/>
    <w:uiPriority w:val="9"/>
    <w:rPr>
      <w:rFonts w:ascii="Arial Unicode MS" w:hAnsi="Arial Unicode MS" w:eastAsia="Times New Roman" w:cs="Arial Unicode MS"/>
      <w:b/>
      <w:bCs/>
      <w:color w:val="000000"/>
      <w:kern w:val="44"/>
      <w:sz w:val="44"/>
      <w:szCs w:val="44"/>
      <w:u w:color="000000"/>
    </w:rPr>
  </w:style>
  <w:style w:type="paragraph" w:customStyle="1" w:styleId="4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hint="default"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45">
    <w:name w:val="标题 2 字符"/>
    <w:basedOn w:val="23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  <w:u w:color="000000"/>
    </w:rPr>
  </w:style>
  <w:style w:type="paragraph" w:customStyle="1" w:styleId="46">
    <w:name w:val="论文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BF4061-F938-1B41-B618-1141989D30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483</Words>
  <Characters>2759</Characters>
  <Lines>22</Lines>
  <Paragraphs>6</Paragraphs>
  <TotalTime>0</TotalTime>
  <ScaleCrop>false</ScaleCrop>
  <LinksUpToDate>false</LinksUpToDate>
  <CharactersWithSpaces>3236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2023-05-06T04:10:00Z</dcterms:created>
  <dc:creator>胡 文皓</dc:creator>
  <cp:lastModifiedBy>刘京</cp:lastModifiedBy>
  <dcterms:modified xsi:type="dcterms:W3CDTF">2023-11-28T07:33:40Z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A486A8DF8ED84600AF31BEF0234870E2_12</vt:lpwstr>
  </property>
</Properties>
</file>