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3" w:firstLineChars="200"/>
        <w:jc w:val="center"/>
        <w:rPr>
          <w:rFonts w:ascii="Times New Roman" w:hAnsi="Times New Roman" w:eastAsia="仿宋" w:cs="宋体"/>
          <w:b/>
          <w:bCs/>
          <w:kern w:val="0"/>
          <w:sz w:val="32"/>
          <w:szCs w:val="32"/>
        </w:rPr>
      </w:pPr>
      <w:r>
        <w:rPr>
          <w:rFonts w:hint="eastAsia" w:ascii="Times New Roman" w:hAnsi="Times New Roman" w:eastAsia="仿宋" w:cs="宋体"/>
          <w:b/>
          <w:bCs/>
          <w:kern w:val="0"/>
          <w:sz w:val="32"/>
          <w:szCs w:val="32"/>
        </w:rPr>
        <w:t>供应商集中度与股价崩盘风险：理论分析与中国实证</w:t>
      </w:r>
    </w:p>
    <w:p>
      <w:pPr>
        <w:widowControl/>
        <w:ind w:firstLine="420" w:firstLineChars="200"/>
        <w:jc w:val="center"/>
        <w:rPr>
          <w:rFonts w:ascii="Times New Roman" w:hAnsi="Times New Roman" w:eastAsia="仿宋" w:cs="宋体"/>
          <w:kern w:val="0"/>
          <w:szCs w:val="24"/>
        </w:rPr>
      </w:pPr>
    </w:p>
    <w:p>
      <w:pPr>
        <w:widowControl/>
        <w:jc w:val="center"/>
        <w:rPr>
          <w:rFonts w:hint="eastAsia" w:ascii="楷体" w:hAnsi="楷体" w:eastAsia="楷体" w:cs="楷体"/>
          <w:b/>
          <w:bCs/>
          <w:kern w:val="0"/>
          <w:sz w:val="28"/>
          <w:szCs w:val="28"/>
        </w:rPr>
      </w:pPr>
      <w:r>
        <w:rPr>
          <w:rFonts w:hint="eastAsia" w:ascii="楷体" w:hAnsi="楷体" w:eastAsia="楷体" w:cs="楷体"/>
          <w:kern w:val="0"/>
          <w:sz w:val="28"/>
          <w:szCs w:val="28"/>
        </w:rPr>
        <w:t>高震男 魏旭 张学勇</w:t>
      </w:r>
    </w:p>
    <w:p>
      <w:pPr>
        <w:pStyle w:val="2"/>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附</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录</w:t>
      </w:r>
    </w:p>
    <w:p>
      <w:pPr>
        <w:jc w:val="center"/>
        <w:rPr>
          <w:rFonts w:hint="eastAsia" w:ascii="宋体" w:hAnsi="宋体" w:eastAsia="宋体" w:cs="宋体"/>
          <w:b/>
          <w:bCs/>
          <w:sz w:val="20"/>
          <w:szCs w:val="20"/>
          <w:lang w:val="en-US" w:eastAsia="zh-CN"/>
        </w:rPr>
      </w:pPr>
      <w:r>
        <w:rPr>
          <w:rFonts w:hint="eastAsia" w:ascii="宋体" w:hAnsi="宋体" w:eastAsia="宋体" w:cs="宋体"/>
          <w:b/>
          <w:bCs/>
          <w:kern w:val="0"/>
          <w:sz w:val="20"/>
          <w:szCs w:val="20"/>
          <w:lang w:val="en-US" w:eastAsia="zh-CN"/>
        </w:rPr>
        <w:t>表A1 变量定义及计算</w:t>
      </w: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9"/>
        <w:gridCol w:w="7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ACCM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由 Jones 模型 (Dechow et al., 1995) 估计出的可操纵性应计利润的绝对值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ANA</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对公司进行过跟踪分析的分析师数量的自然对数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ASSET</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总资产规模的自然对数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BIG4</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虚拟变量，如果审计师来自四大会计师事务所，取值为1，否则为0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CHHI</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前五大客户销售金额占比的平方和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COGS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主营业务成本与主营业务收入的比值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DEP_FIXED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固定资产折旧与总资产比值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DTURN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相邻年平均月换手率的变化值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DUVOL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公司特定周收益率的下降周的波动率与上升周的波动率比值的自然对数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HHI</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前五大供应商的采购金额占比的平方和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INV_TURNOVER</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主营业务成本与存货净值的比值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LEV</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长期债务总额与流动负债之和与总资产的比值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MB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市值账面比，年底股票总市值与当年股票账面值的比值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NCSKEW</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公司特定周收益率的负偏度，即公司特定周收益率三阶矩与周收益率标准差的三次方的比值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PROCURE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前五大供应商总采购金额占比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REP</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跟踪分析的研报数量的自然对数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RET </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公司特有周收益率的均值（为了便于系数的展示，乘100）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ROA </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资产回报率，公司税后净利润与总资产的比值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SALES</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前五大客户总销售金额占比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SIGMA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公司特有周收益率的标准差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SIZE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市值的自然对数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 xml:space="preserve">SO </w:t>
            </w:r>
          </w:p>
        </w:tc>
        <w:tc>
          <w:tcPr>
            <w:tcW w:w="7491" w:type="dxa"/>
            <w:tcBorders>
              <w:top w:val="single" w:color="auto" w:sz="4" w:space="0"/>
              <w:bottom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000000"/>
                <w:sz w:val="18"/>
                <w:szCs w:val="18"/>
              </w:rPr>
              <w:t>国有股比例，国有股股数与总股数的比值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SupplierM&amp;A</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公司对应供应商行业平均并购重组活动规模，通过行业并购重组规模并根据投入产品表中的供应商行业对应比例加权得出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TRAN</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上交所和深交所披露的上市公司透明度评级,优秀、良好、及格和不及格分别记为4分</w:t>
            </w:r>
            <w:r>
              <w:rPr>
                <w:rFonts w:hint="eastAsia" w:ascii="仿宋" w:hAnsi="仿宋" w:eastAsia="仿宋" w:cs="仿宋"/>
                <w:color w:val="000000" w:themeColor="text1"/>
                <w:sz w:val="18"/>
                <w:szCs w:val="18"/>
                <w:lang w:eastAsia="zh-CN"/>
                <w14:textFill>
                  <w14:solidFill>
                    <w14:schemeClr w14:val="tx1"/>
                  </w14:solidFill>
                </w14:textFill>
              </w:rPr>
              <w:t>、</w:t>
            </w:r>
            <w:r>
              <w:rPr>
                <w:rFonts w:hint="eastAsia" w:ascii="仿宋" w:hAnsi="仿宋" w:eastAsia="仿宋" w:cs="仿宋"/>
                <w:color w:val="000000" w:themeColor="text1"/>
                <w:sz w:val="18"/>
                <w:szCs w:val="18"/>
                <w14:textFill>
                  <w14:solidFill>
                    <w14:schemeClr w14:val="tx1"/>
                  </w14:solidFill>
                </w14:textFill>
              </w:rPr>
              <w:t>3分</w:t>
            </w:r>
            <w:r>
              <w:rPr>
                <w:rFonts w:hint="eastAsia" w:ascii="仿宋" w:hAnsi="仿宋" w:eastAsia="仿宋" w:cs="仿宋"/>
                <w:color w:val="000000" w:themeColor="text1"/>
                <w:sz w:val="18"/>
                <w:szCs w:val="18"/>
                <w:lang w:eastAsia="zh-CN"/>
                <w14:textFill>
                  <w14:solidFill>
                    <w14:schemeClr w14:val="tx1"/>
                  </w14:solidFill>
                </w14:textFill>
              </w:rPr>
              <w:t>、</w:t>
            </w:r>
            <w:bookmarkStart w:id="0" w:name="_GoBack"/>
            <w:bookmarkEnd w:id="0"/>
            <w:r>
              <w:rPr>
                <w:rFonts w:hint="eastAsia" w:ascii="仿宋" w:hAnsi="仿宋" w:eastAsia="仿宋" w:cs="仿宋"/>
                <w:color w:val="000000" w:themeColor="text1"/>
                <w:sz w:val="18"/>
                <w:szCs w:val="18"/>
                <w14:textFill>
                  <w14:solidFill>
                    <w14:schemeClr w14:val="tx1"/>
                  </w14:solidFill>
                </w14:textFill>
              </w:rPr>
              <w:t>2分和1分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ACCPAY</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应付账款与营业成本的比值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9" w:type="dxa"/>
            <w:tcBorders>
              <w:top w:val="single" w:color="auto" w:sz="4" w:space="0"/>
              <w:bottom w:val="single" w:color="auto" w:sz="4" w:space="0"/>
            </w:tcBorders>
            <w:vAlign w:val="center"/>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PREPAY</w:t>
            </w:r>
          </w:p>
        </w:tc>
        <w:tc>
          <w:tcPr>
            <w:tcW w:w="7491" w:type="dxa"/>
            <w:tcBorders>
              <w:top w:val="single" w:color="auto" w:sz="4" w:space="0"/>
              <w:bottom w:val="single" w:color="auto" w:sz="4" w:space="0"/>
            </w:tcBorders>
            <w:vAlign w:val="center"/>
          </w:tcPr>
          <w:p>
            <w:pP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预付账款与营业成本的比值</w:t>
            </w:r>
          </w:p>
        </w:tc>
      </w:tr>
    </w:tbl>
    <w:p>
      <w:pPr>
        <w:ind w:firstLine="420" w:firstLineChars="200"/>
        <w:rPr>
          <w:rFonts w:ascii="Times New Roman" w:hAnsi="Times New Roman" w:eastAsia="仿宋" w:cs="宋体"/>
          <w:kern w:val="0"/>
          <w:szCs w:val="24"/>
        </w:rPr>
      </w:pPr>
    </w:p>
    <w:p>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hint="eastAsia" w:ascii="宋体" w:hAnsi="宋体" w:eastAsia="宋体" w:cs="宋体"/>
          <w:kern w:val="0"/>
          <w:szCs w:val="24"/>
        </w:rPr>
      </w:pPr>
      <w:r>
        <w:rPr>
          <w:rFonts w:hint="eastAsia" w:ascii="宋体" w:hAnsi="宋体" w:eastAsia="宋体" w:cs="宋体"/>
          <w:b/>
          <w:color w:val="auto"/>
          <w:szCs w:val="22"/>
        </w:rPr>
        <w:t>注：该附录是期刊所发表论文的组成部分，同样视为作者公开发表的内容。如研究中使用该附录中的内容，</w:t>
      </w:r>
      <w:r>
        <w:rPr>
          <w:rFonts w:hint="eastAsia" w:ascii="宋体" w:hAnsi="宋体" w:eastAsia="宋体" w:cs="宋体"/>
          <w:b/>
          <w:bCs/>
          <w:color w:val="auto"/>
          <w:kern w:val="0"/>
          <w:szCs w:val="21"/>
        </w:rPr>
        <w:t>请务必在研究成果上注明</w:t>
      </w:r>
      <w:r>
        <w:rPr>
          <w:rFonts w:hint="eastAsia" w:ascii="宋体" w:hAnsi="宋体" w:eastAsia="宋体" w:cs="宋体"/>
          <w:b/>
          <w:bCs/>
          <w:color w:val="auto"/>
          <w:kern w:val="0"/>
          <w:szCs w:val="21"/>
          <w:lang w:val="en-US" w:eastAsia="zh-CN"/>
        </w:rPr>
        <w:t>附录</w:t>
      </w:r>
      <w:r>
        <w:rPr>
          <w:rFonts w:hint="eastAsia" w:ascii="宋体" w:hAnsi="宋体" w:eastAsia="宋体" w:cs="宋体"/>
          <w:b/>
          <w:bCs/>
          <w:color w:val="auto"/>
          <w:kern w:val="0"/>
          <w:szCs w:val="21"/>
        </w:rPr>
        <w:t>下载出处</w:t>
      </w:r>
      <w:r>
        <w:rPr>
          <w:rFonts w:hint="eastAsia" w:ascii="宋体" w:hAnsi="宋体" w:eastAsia="宋体" w:cs="宋体"/>
          <w:color w:val="auto"/>
          <w:kern w:val="0"/>
          <w:szCs w:val="21"/>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rPr>
        <w:rFonts w:hint="default" w:eastAsiaTheme="minorEastAsia"/>
        <w:lang w:val="en-US" w:eastAsia="zh-CN"/>
      </w:rPr>
    </w:pPr>
    <w:r>
      <w:rPr>
        <w:rFonts w:hint="eastAsia"/>
        <w:lang w:eastAsia="zh-CN"/>
      </w:rPr>
      <w:t>《</w:t>
    </w:r>
    <w:r>
      <w:rPr>
        <w:rFonts w:hint="eastAsia"/>
        <w:lang w:val="en-US" w:eastAsia="zh-CN"/>
      </w:rPr>
      <w:t>经济学</w:t>
    </w:r>
    <w:r>
      <w:rPr>
        <w:rFonts w:hint="eastAsia"/>
        <w:lang w:eastAsia="zh-CN"/>
      </w:rPr>
      <w:t>》（</w:t>
    </w:r>
    <w:r>
      <w:rPr>
        <w:rFonts w:hint="eastAsia"/>
        <w:lang w:val="en-US" w:eastAsia="zh-CN"/>
      </w:rPr>
      <w:t>季刊</w:t>
    </w:r>
    <w:r>
      <w:rPr>
        <w:rFonts w:hint="eastAsia"/>
        <w:lang w:eastAsia="zh-CN"/>
      </w:rPr>
      <w:t>）</w:t>
    </w:r>
    <w:r>
      <w:rPr>
        <w:rFonts w:hint="eastAsia"/>
        <w:lang w:val="en-US" w:eastAsia="zh-CN"/>
      </w:rPr>
      <w:t xml:space="preserve">                                                             2023年第5期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TY5MzAxODJhZDAxMGMwZGQwZTA0ZDg0NjA2ZDkifQ=="/>
  </w:docVars>
  <w:rsids>
    <w:rsidRoot w:val="00BE6649"/>
    <w:rsid w:val="00103BE2"/>
    <w:rsid w:val="001E1C37"/>
    <w:rsid w:val="00902EAB"/>
    <w:rsid w:val="00BE6649"/>
    <w:rsid w:val="165027E8"/>
    <w:rsid w:val="274459DB"/>
    <w:rsid w:val="537F6FAE"/>
    <w:rsid w:val="71FD4747"/>
    <w:rsid w:val="72BC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9"/>
    <w:rPr>
      <w:b/>
      <w:bCs/>
      <w:kern w:val="44"/>
      <w:sz w:val="44"/>
      <w:szCs w:val="44"/>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727</Characters>
  <Lines>5</Lines>
  <Paragraphs>1</Paragraphs>
  <TotalTime>0</TotalTime>
  <ScaleCrop>false</ScaleCrop>
  <LinksUpToDate>false</LinksUpToDate>
  <CharactersWithSpaces>750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2023-09-11T08:06:00Z</dcterms:created>
  <dc:creator>G Z</dc:creator>
  <cp:lastModifiedBy>刘京</cp:lastModifiedBy>
  <dcterms:modified xsi:type="dcterms:W3CDTF">2023-09-23T11:26:25Z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5C05FAB01A1F4EC193DEF4EE176D88D0_12</vt:lpwstr>
  </property>
</Properties>
</file>