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ind w:firstLine="562" w:firstLineChars="200"/>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附录</w:t>
      </w:r>
      <w:r>
        <w:rPr>
          <w:rFonts w:hint="eastAsia" w:ascii="仿宋" w:hAnsi="仿宋" w:eastAsia="仿宋" w:cs="仿宋"/>
          <w:b/>
          <w:bCs/>
          <w:sz w:val="28"/>
          <w:szCs w:val="28"/>
          <w:lang w:val="en-US" w:eastAsia="zh-CN"/>
        </w:rPr>
        <w:t xml:space="preserve">A  </w:t>
      </w:r>
      <w:r>
        <w:rPr>
          <w:rFonts w:hint="eastAsia" w:ascii="仿宋" w:hAnsi="仿宋" w:eastAsia="仿宋" w:cs="仿宋"/>
          <w:b/>
          <w:bCs/>
          <w:sz w:val="28"/>
          <w:szCs w:val="28"/>
        </w:rPr>
        <w:t>稳健性检验</w:t>
      </w:r>
    </w:p>
    <w:p>
      <w:pPr>
        <w:keepNext w:val="0"/>
        <w:keepLines w:val="0"/>
        <w:pageBreakBefore w:val="0"/>
        <w:kinsoku/>
        <w:overflowPunct/>
        <w:topLinePunct w:val="0"/>
        <w:autoSpaceDE/>
        <w:autoSpaceDN/>
        <w:bidi w:val="0"/>
        <w:adjustRightInd/>
        <w:snapToGrid/>
        <w:spacing w:line="360" w:lineRule="auto"/>
        <w:ind w:firstLine="482" w:firstLineChars="200"/>
        <w:textAlignment w:val="center"/>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200"/>
        <w:textAlignment w:val="center"/>
        <w:rPr>
          <w:rFonts w:hint="eastAsia" w:ascii="仿宋" w:hAnsi="仿宋" w:eastAsia="仿宋" w:cs="仿宋"/>
          <w:b/>
          <w:bCs/>
          <w:sz w:val="24"/>
          <w:szCs w:val="24"/>
        </w:rPr>
      </w:pPr>
      <w:r>
        <w:rPr>
          <w:rFonts w:hint="eastAsia" w:ascii="仿宋" w:hAnsi="仿宋" w:eastAsia="仿宋" w:cs="仿宋"/>
          <w:b/>
          <w:bCs/>
          <w:sz w:val="24"/>
          <w:szCs w:val="24"/>
        </w:rPr>
        <w:t>1.</w:t>
      </w:r>
      <w:bookmarkStart w:id="0" w:name="_Hlk93776845"/>
      <w:r>
        <w:rPr>
          <w:rFonts w:hint="eastAsia" w:ascii="仿宋" w:hAnsi="仿宋" w:eastAsia="仿宋" w:cs="仿宋"/>
          <w:b/>
          <w:bCs/>
          <w:sz w:val="24"/>
          <w:szCs w:val="24"/>
        </w:rPr>
        <w:t>互联网的其他度量方法</w:t>
      </w:r>
      <w:bookmarkEnd w:id="0"/>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在前文实证研究中，我们主要从地区互联网上网人数的角度来刻画地区互联网发展水平。为了稳健起见，我们考虑采用其他两种方法来重新度量：</w:t>
      </w:r>
      <w:bookmarkStart w:id="1" w:name="_Hlk93775125"/>
      <w:r>
        <w:rPr>
          <w:rFonts w:hint="eastAsia" w:ascii="仿宋" w:hAnsi="仿宋" w:eastAsia="仿宋" w:cs="仿宋"/>
          <w:sz w:val="24"/>
          <w:szCs w:val="24"/>
        </w:rPr>
        <w:t>其一，使用</w:t>
      </w:r>
      <w:bookmarkStart w:id="2" w:name="_Hlk93413178"/>
      <w:r>
        <w:rPr>
          <w:rFonts w:hint="eastAsia" w:ascii="仿宋" w:hAnsi="仿宋" w:eastAsia="仿宋" w:cs="仿宋"/>
          <w:sz w:val="24"/>
          <w:szCs w:val="24"/>
        </w:rPr>
        <w:t>各地区CN域名数与所在地区人口总数（万人）的比值来衡量地区互联网发展水平（记为</w:t>
      </w:r>
      <w:r>
        <w:rPr>
          <w:rFonts w:hint="eastAsia" w:ascii="仿宋" w:hAnsi="仿宋" w:eastAsia="仿宋" w:cs="仿宋"/>
          <w:i/>
          <w:kern w:val="0"/>
          <w:sz w:val="24"/>
          <w:szCs w:val="24"/>
        </w:rPr>
        <w:t>INTNETCN</w:t>
      </w:r>
      <w:r>
        <w:rPr>
          <w:rFonts w:hint="eastAsia" w:ascii="仿宋" w:hAnsi="仿宋" w:eastAsia="仿宋" w:cs="仿宋"/>
          <w:sz w:val="24"/>
          <w:szCs w:val="24"/>
        </w:rPr>
        <w:t>）；其二，使用各地区长途光缆线路长度与所在地区人口总数（万人）的比值进行衡量（记为</w:t>
      </w:r>
      <w:r>
        <w:rPr>
          <w:rFonts w:hint="eastAsia" w:ascii="仿宋" w:hAnsi="仿宋" w:eastAsia="仿宋" w:cs="仿宋"/>
          <w:i/>
          <w:kern w:val="0"/>
          <w:sz w:val="24"/>
          <w:szCs w:val="24"/>
        </w:rPr>
        <w:t>INTNETFB</w:t>
      </w:r>
      <w:r>
        <w:rPr>
          <w:rFonts w:hint="eastAsia" w:ascii="仿宋" w:hAnsi="仿宋" w:eastAsia="仿宋" w:cs="仿宋"/>
          <w:sz w:val="24"/>
          <w:szCs w:val="24"/>
        </w:rPr>
        <w:t>）。</w:t>
      </w:r>
      <w:bookmarkEnd w:id="1"/>
      <w:bookmarkEnd w:id="2"/>
      <w:r>
        <w:rPr>
          <w:rFonts w:hint="eastAsia" w:ascii="仿宋" w:hAnsi="仿宋" w:eastAsia="仿宋" w:cs="仿宋"/>
          <w:sz w:val="24"/>
          <w:szCs w:val="24"/>
        </w:rPr>
        <w:t>从表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列可以看到，交叉项</w:t>
      </w:r>
      <w:r>
        <w:rPr>
          <w:rFonts w:hint="eastAsia" w:ascii="仿宋" w:hAnsi="仿宋" w:eastAsia="仿宋" w:cs="仿宋"/>
          <w:i/>
          <w:kern w:val="0"/>
          <w:sz w:val="24"/>
          <w:szCs w:val="24"/>
        </w:rPr>
        <w:t>INTNETCN</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的估计系数显著为正，表明伴随着地区CN域名数的增加，高互联网依赖度行业的企业就业水平较于低互联网依赖度行业有更大幅度的提升；此外，表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列的回归结果显示，交叉项</w:t>
      </w:r>
      <w:r>
        <w:rPr>
          <w:rFonts w:hint="eastAsia" w:ascii="仿宋" w:hAnsi="仿宋" w:eastAsia="仿宋" w:cs="仿宋"/>
          <w:i/>
          <w:kern w:val="0"/>
          <w:sz w:val="24"/>
          <w:szCs w:val="24"/>
        </w:rPr>
        <w:t>INTNETFB</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的估计系数为正且通过了</w:t>
      </w:r>
      <w:r>
        <w:rPr>
          <w:rFonts w:hint="eastAsia" w:ascii="仿宋" w:hAnsi="仿宋" w:eastAsia="仿宋" w:cs="仿宋"/>
          <w:color w:val="auto"/>
          <w:sz w:val="24"/>
          <w:szCs w:val="24"/>
        </w:rPr>
        <w:t>1%水平的</w:t>
      </w:r>
      <w:r>
        <w:rPr>
          <w:rFonts w:hint="eastAsia" w:ascii="仿宋" w:hAnsi="仿宋" w:eastAsia="仿宋" w:cs="仿宋"/>
          <w:sz w:val="24"/>
          <w:szCs w:val="24"/>
        </w:rPr>
        <w:t>显著性检验，表明随着长途光缆线路长度的提高，高互联网依赖度行业的企业就业水平相比于低互联网依赖度行业的提升幅度也更大。以上检验均意味着，互联网发展显著促进了企业就业水平的提升，这一核心结论并不会随着地区互联网发展衡量方法的不同而改变。</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200"/>
        <w:textAlignment w:val="center"/>
        <w:rPr>
          <w:rFonts w:hint="eastAsia" w:ascii="仿宋" w:hAnsi="仿宋" w:eastAsia="仿宋" w:cs="仿宋"/>
          <w:b/>
          <w:bCs/>
          <w:sz w:val="24"/>
          <w:szCs w:val="24"/>
        </w:rPr>
      </w:pPr>
      <w:r>
        <w:rPr>
          <w:rFonts w:hint="eastAsia" w:ascii="仿宋" w:hAnsi="仿宋" w:eastAsia="仿宋" w:cs="仿宋"/>
          <w:b/>
          <w:bCs/>
          <w:sz w:val="24"/>
          <w:szCs w:val="24"/>
        </w:rPr>
        <w:t>2.企业就业增长率</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在前文，我们使用企业就业人数的自然对数值作为因变量，进而考察互联网发展对企业就业水平的影响，发现互联网发展显著促进了企业就业水平的提升。与此紧密相关的一个问题是，互联网发展对企业就业增长率究竟会产生怎样的影响？为了回答这一问题，接下来借鉴Dai and Xu（2017）的做法，采用企业就业增长率作为因变量，考察互联网发展与企业就业增长之间的关系，回归结果如表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列所示。我们发现，交叉项</w:t>
      </w:r>
      <w:r>
        <w:rPr>
          <w:rFonts w:hint="eastAsia" w:ascii="仿宋" w:hAnsi="仿宋" w:eastAsia="仿宋" w:cs="仿宋"/>
          <w:i/>
          <w:sz w:val="24"/>
          <w:szCs w:val="24"/>
        </w:rPr>
        <w:t>INTNET</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显著为正，表明在控制了其他影响因素之后，随着互联网发展水平的提高，高互联网依赖度行业的企业就业增长率较于低互联网依赖度行业的提升幅度更大，这意味着互联网发展不仅有利于提高企业的就业水平，而且对企业就业增长率的提升也产生了显著的促进作用。</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200"/>
        <w:textAlignment w:val="center"/>
        <w:rPr>
          <w:rFonts w:hint="eastAsia" w:ascii="仿宋" w:hAnsi="仿宋" w:eastAsia="仿宋" w:cs="仿宋"/>
          <w:b/>
          <w:bCs/>
          <w:sz w:val="24"/>
          <w:szCs w:val="24"/>
        </w:rPr>
      </w:pPr>
      <w:r>
        <w:rPr>
          <w:rFonts w:hint="eastAsia" w:ascii="仿宋" w:hAnsi="仿宋" w:eastAsia="仿宋" w:cs="仿宋"/>
          <w:b/>
          <w:bCs/>
          <w:sz w:val="24"/>
          <w:szCs w:val="24"/>
        </w:rPr>
        <w:t>3.控制其他维度的比较优势</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本文旨在考察互联网发展对企业就业的影响，发现互联网作为一种比较优势，会对制造业就业产生积极的影响。考虑到除了互联网发展之外，其他地区层面的比较优势（如人力资本、基础设施和资本投入等）也可能会对企业行为产生影响（Fernandes et al.，2019），作为一个稳健性检验，我们对人力资本、基础设施和资本投入等其他维度的比较优势进行控制。具体地，我们在基准比较优势型的双重差分法模型中引入地区技能劳动力（</w:t>
      </w:r>
      <w:r>
        <w:rPr>
          <w:rFonts w:hint="eastAsia" w:ascii="仿宋" w:hAnsi="仿宋" w:eastAsia="仿宋" w:cs="仿宋"/>
          <w:sz w:val="24"/>
          <w:szCs w:val="24"/>
        </w:rPr>
        <w:object>
          <v:shape id="_x0000_i1025" o:spt="75" type="#_x0000_t75" style="height:16.05pt;width:37.0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仿宋" w:hAnsi="仿宋" w:eastAsia="仿宋" w:cs="仿宋"/>
          <w:sz w:val="24"/>
          <w:szCs w:val="24"/>
        </w:rPr>
        <w:t>）与行业技能劳动力密集度（</w:t>
      </w:r>
      <w:r>
        <w:rPr>
          <w:rFonts w:hint="eastAsia" w:ascii="仿宋" w:hAnsi="仿宋" w:eastAsia="仿宋" w:cs="仿宋"/>
          <w:sz w:val="24"/>
          <w:szCs w:val="24"/>
        </w:rPr>
        <w:object>
          <v:shape id="_x0000_i1026" o:spt="75" type="#_x0000_t75" style="height:16.05pt;width:51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仿宋" w:hAnsi="仿宋" w:eastAsia="仿宋" w:cs="仿宋"/>
          <w:sz w:val="24"/>
          <w:szCs w:val="24"/>
        </w:rPr>
        <w:t>）的交叉项、地区交通基础设施（</w:t>
      </w:r>
      <w:r>
        <w:rPr>
          <w:rFonts w:hint="eastAsia" w:ascii="仿宋" w:hAnsi="仿宋" w:eastAsia="仿宋" w:cs="仿宋"/>
          <w:sz w:val="24"/>
          <w:szCs w:val="24"/>
        </w:rPr>
        <w:object>
          <v:shape id="_x0000_i1027" o:spt="75" type="#_x0000_t75" style="height:16.05pt;width:40.9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仿宋" w:hAnsi="仿宋" w:eastAsia="仿宋" w:cs="仿宋"/>
          <w:sz w:val="24"/>
          <w:szCs w:val="24"/>
        </w:rPr>
        <w:t>）与行业交通设施使用密集度（</w:t>
      </w:r>
      <w:r>
        <w:rPr>
          <w:rFonts w:hint="eastAsia" w:ascii="仿宋" w:hAnsi="仿宋" w:eastAsia="仿宋" w:cs="仿宋"/>
          <w:sz w:val="24"/>
          <w:szCs w:val="24"/>
        </w:rPr>
        <w:object>
          <v:shape id="_x0000_i1028" o:spt="75" type="#_x0000_t75" style="height:16.05pt;width:54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仿宋" w:hAnsi="仿宋" w:eastAsia="仿宋" w:cs="仿宋"/>
          <w:sz w:val="24"/>
          <w:szCs w:val="24"/>
        </w:rPr>
        <w:t>）的交叉项、地区实际资本投入（</w:t>
      </w:r>
      <w:r>
        <w:rPr>
          <w:rFonts w:hint="eastAsia" w:ascii="仿宋" w:hAnsi="仿宋" w:eastAsia="仿宋" w:cs="仿宋"/>
          <w:sz w:val="24"/>
          <w:szCs w:val="24"/>
        </w:rPr>
        <w:object>
          <v:shape id="_x0000_i1029" o:spt="75" type="#_x0000_t75" style="height:16.05pt;width:27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仿宋" w:hAnsi="仿宋" w:eastAsia="仿宋" w:cs="仿宋"/>
          <w:sz w:val="24"/>
          <w:szCs w:val="24"/>
        </w:rPr>
        <w:t>）与行业资本使用密集度（</w:t>
      </w:r>
      <w:r>
        <w:rPr>
          <w:rFonts w:hint="eastAsia" w:ascii="仿宋" w:hAnsi="仿宋" w:eastAsia="仿宋" w:cs="仿宋"/>
          <w:sz w:val="24"/>
          <w:szCs w:val="24"/>
        </w:rPr>
        <w:object>
          <v:shape id="_x0000_i1030" o:spt="75" type="#_x0000_t75" style="height:16.05pt;width:42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ascii="仿宋" w:hAnsi="仿宋" w:eastAsia="仿宋" w:cs="仿宋"/>
          <w:sz w:val="24"/>
          <w:szCs w:val="24"/>
        </w:rPr>
        <w:t>）的交叉项，回归结果报告在表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列。从中不难看出，在控制了上述其他维度的比较优势的潜在影响之后，核心解释变量</w:t>
      </w:r>
      <w:r>
        <w:rPr>
          <w:rFonts w:hint="eastAsia" w:ascii="仿宋" w:hAnsi="仿宋" w:eastAsia="仿宋" w:cs="仿宋"/>
          <w:i/>
          <w:sz w:val="24"/>
          <w:szCs w:val="24"/>
        </w:rPr>
        <w:t>INTNET</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的估计系数大小和显著性水平与基准回归结果（即表1第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列）相比没有发生实质变化，仍然在1%水平上显著为正</w:t>
      </w:r>
      <w:r>
        <w:rPr>
          <w:rFonts w:hint="eastAsia" w:ascii="仿宋" w:hAnsi="仿宋" w:eastAsia="仿宋" w:cs="仿宋"/>
          <w:sz w:val="24"/>
          <w:szCs w:val="24"/>
          <w:lang w:eastAsia="zh-CN"/>
        </w:rPr>
        <w:t>。</w:t>
      </w:r>
      <w:r>
        <w:rPr>
          <w:rFonts w:hint="eastAsia" w:ascii="仿宋" w:hAnsi="仿宋" w:eastAsia="仿宋" w:cs="仿宋"/>
          <w:sz w:val="24"/>
          <w:szCs w:val="24"/>
        </w:rPr>
        <w:t>由此可见，互联网发展促进企业就业水平提升这一核心结论并不会受到其余地区比较优势的干扰。</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200"/>
        <w:textAlignment w:val="center"/>
        <w:rPr>
          <w:rFonts w:hint="eastAsia" w:ascii="仿宋" w:hAnsi="仿宋" w:eastAsia="仿宋" w:cs="仿宋"/>
          <w:b/>
          <w:bCs/>
          <w:sz w:val="24"/>
          <w:szCs w:val="24"/>
        </w:rPr>
      </w:pPr>
      <w:r>
        <w:rPr>
          <w:rFonts w:hint="eastAsia" w:ascii="仿宋" w:hAnsi="仿宋" w:eastAsia="仿宋" w:cs="仿宋"/>
          <w:b/>
          <w:bCs/>
          <w:sz w:val="24"/>
          <w:szCs w:val="24"/>
        </w:rPr>
        <w:t>4.控制其他固定效应</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在基准回归中，为了降低遗漏变量偏差，我们控制了企业特征因素、地区维度影响因素、行业层面政策变动、企业固定效应以及年份固定效应。然而，企业就业变化还可能会受到其他地区层面时变因素（如政府行为）以及其他行业层面时变因素（如行业管制）的影响。为此，作为进一步的稳健性检验，我们在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rPr>
        <w:t>列控制了“地区</w:t>
      </w:r>
      <w:r>
        <w:rPr>
          <w:rFonts w:hint="eastAsia" w:ascii="仿宋" w:hAnsi="仿宋" w:eastAsia="仿宋" w:cs="仿宋"/>
          <w:sz w:val="24"/>
          <w:szCs w:val="24"/>
          <w:lang w:val="en-US" w:eastAsia="zh-CN"/>
        </w:rPr>
        <w:t>×</w:t>
      </w:r>
      <w:r>
        <w:rPr>
          <w:rFonts w:hint="eastAsia" w:ascii="仿宋" w:hAnsi="仿宋" w:eastAsia="仿宋" w:cs="仿宋"/>
          <w:sz w:val="24"/>
          <w:szCs w:val="24"/>
        </w:rPr>
        <w:t>年份”固定效应，其优势在于能够</w:t>
      </w:r>
      <w:r>
        <w:rPr>
          <w:rFonts w:hint="eastAsia" w:ascii="仿宋" w:hAnsi="仿宋" w:eastAsia="仿宋" w:cs="仿宋"/>
          <w:kern w:val="0"/>
          <w:sz w:val="24"/>
          <w:szCs w:val="24"/>
        </w:rPr>
        <w:t>控制所有地区层面随时间变化因素对企业就业的影响，进而在很大程度上降低遗漏变量偏差；另外，</w:t>
      </w:r>
      <w:r>
        <w:rPr>
          <w:rFonts w:hint="eastAsia" w:ascii="仿宋" w:hAnsi="仿宋" w:eastAsia="仿宋" w:cs="仿宋"/>
          <w:sz w:val="24"/>
          <w:szCs w:val="24"/>
        </w:rPr>
        <w:t>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rPr>
        <w:t>列控制了“行业</w:t>
      </w:r>
      <w:r>
        <w:rPr>
          <w:rFonts w:hint="eastAsia" w:ascii="仿宋" w:hAnsi="仿宋" w:eastAsia="仿宋" w:cs="仿宋"/>
          <w:sz w:val="24"/>
          <w:szCs w:val="24"/>
          <w:lang w:val="en-US" w:eastAsia="zh-CN"/>
        </w:rPr>
        <w:t>×</w:t>
      </w:r>
      <w:r>
        <w:rPr>
          <w:rFonts w:hint="eastAsia" w:ascii="仿宋" w:hAnsi="仿宋" w:eastAsia="仿宋" w:cs="仿宋"/>
          <w:sz w:val="24"/>
          <w:szCs w:val="24"/>
        </w:rPr>
        <w:t>年份”固定效应，它可以</w:t>
      </w:r>
      <w:r>
        <w:rPr>
          <w:rFonts w:hint="eastAsia" w:ascii="仿宋" w:hAnsi="仿宋" w:eastAsia="仿宋" w:cs="仿宋"/>
          <w:kern w:val="0"/>
          <w:sz w:val="24"/>
          <w:szCs w:val="24"/>
        </w:rPr>
        <w:t>控制所有行业层面随时间变化因素对企业就业的作用。从中可以看到，两列回归中交叉项</w:t>
      </w:r>
      <w:r>
        <w:rPr>
          <w:rFonts w:hint="eastAsia" w:ascii="仿宋" w:hAnsi="仿宋" w:eastAsia="仿宋" w:cs="仿宋"/>
          <w:i/>
          <w:sz w:val="24"/>
          <w:szCs w:val="24"/>
        </w:rPr>
        <w:t>INTNET</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的估计系数都在1%水平上显著为正，即再次表明互联网发展显著促进了企业就业水平的提升。</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200"/>
        <w:textAlignment w:val="center"/>
        <w:rPr>
          <w:rFonts w:hint="eastAsia" w:ascii="仿宋" w:hAnsi="仿宋" w:eastAsia="仿宋" w:cs="仿宋"/>
          <w:b/>
          <w:bCs/>
          <w:sz w:val="24"/>
          <w:szCs w:val="24"/>
        </w:rPr>
      </w:pPr>
      <w:r>
        <w:rPr>
          <w:rFonts w:hint="eastAsia" w:ascii="仿宋" w:hAnsi="仿宋" w:eastAsia="仿宋" w:cs="仿宋"/>
          <w:b/>
          <w:bCs/>
          <w:sz w:val="24"/>
          <w:szCs w:val="24"/>
        </w:rPr>
        <w:t>5.1999—2007年样本</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到目前为止，我们均是使用1999—2013年的微观企业数据进行实证研究。然而，考虑到2007年之后的工业企业数据的质量相较于之前而言有所下降（例如缺少工业增加值、中间品投入等指标），另外2007年尤其是2010年之后的“规模以上”的口径发生了变化，为了稳健起见，接下来我们将样本期限定为1999—2007年，重新进行回归。从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rPr>
        <w:t>列可以看到，</w:t>
      </w:r>
      <w:r>
        <w:rPr>
          <w:rFonts w:hint="eastAsia" w:ascii="仿宋" w:hAnsi="仿宋" w:eastAsia="仿宋" w:cs="仿宋"/>
          <w:kern w:val="0"/>
          <w:sz w:val="24"/>
          <w:szCs w:val="24"/>
        </w:rPr>
        <w:t>交叉项</w:t>
      </w:r>
      <w:r>
        <w:rPr>
          <w:rFonts w:hint="eastAsia" w:ascii="仿宋" w:hAnsi="仿宋" w:eastAsia="仿宋" w:cs="仿宋"/>
          <w:i/>
          <w:sz w:val="24"/>
          <w:szCs w:val="24"/>
        </w:rPr>
        <w:t>INTNET</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显著为正，表明本文的核心结论成立，即互联网发展显著促进了企业就业水平的提高。此外，考虑到从2003年开始，中国各地区的互联网普及率相对于之前时期得到了更加迅猛的发展，与此相关的一个重要问题是，互联网对企业就业的影响在2003年前后是否有差异？为此，我们将样本划分为两个阶段：1999—2002年和2003—2007年。表</w:t>
      </w:r>
      <w:r>
        <w:rPr>
          <w:rFonts w:hint="eastAsia" w:ascii="仿宋" w:hAnsi="仿宋" w:eastAsia="仿宋" w:cs="仿宋"/>
          <w:sz w:val="24"/>
          <w:szCs w:val="24"/>
          <w:lang w:val="en-US" w:eastAsia="zh-CN"/>
        </w:rPr>
        <w:t>A</w:t>
      </w:r>
      <w:r>
        <w:rPr>
          <w:rFonts w:hint="eastAsia" w:ascii="仿宋" w:hAnsi="仿宋" w:eastAsia="仿宋" w:cs="仿宋"/>
          <w:sz w:val="24"/>
          <w:szCs w:val="24"/>
        </w:rPr>
        <w:t>1第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w:t>
      </w:r>
      <w:r>
        <w:rPr>
          <w:rFonts w:hint="eastAsia" w:ascii="仿宋" w:hAnsi="仿宋" w:eastAsia="仿宋" w:cs="仿宋"/>
          <w:sz w:val="24"/>
          <w:szCs w:val="24"/>
        </w:rPr>
        <w:t>列和第</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w:t>
      </w:r>
      <w:r>
        <w:rPr>
          <w:rFonts w:hint="eastAsia" w:ascii="仿宋" w:hAnsi="仿宋" w:eastAsia="仿宋" w:cs="仿宋"/>
          <w:sz w:val="24"/>
          <w:szCs w:val="24"/>
        </w:rPr>
        <w:t>列分别报告了基于上述两个阶段子样本的回归结果，我们发现，在1999—2002年子样本估计中，</w:t>
      </w:r>
      <w:r>
        <w:rPr>
          <w:rFonts w:hint="eastAsia" w:ascii="仿宋" w:hAnsi="仿宋" w:eastAsia="仿宋" w:cs="仿宋"/>
          <w:kern w:val="0"/>
          <w:sz w:val="24"/>
          <w:szCs w:val="24"/>
        </w:rPr>
        <w:t>交叉项</w:t>
      </w:r>
      <w:r>
        <w:rPr>
          <w:rFonts w:hint="eastAsia" w:ascii="仿宋" w:hAnsi="仿宋" w:eastAsia="仿宋" w:cs="仿宋"/>
          <w:i/>
          <w:sz w:val="24"/>
          <w:szCs w:val="24"/>
        </w:rPr>
        <w:t>INTNET</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不显著，说明互联网对这一时期企业就业没有产生明显的影响，而在2003—2007年，互联网发展显著促进了企业就业水平的提高。对此可能的解释有两个方面：其一，如前所述，在2003年之前，中国互联网普及率较低，因此难以对企业就业产生明显的作用；其二，中国在1999年实行了“大学扩招”政策，导致2003年之后高素质人力资本增加（Che and Zhang，2018），而这部分劳动力能够熟练使用互联网技术进行工作搜寻匹配以及利用互联网进行生产活动，进而互联网发展对这一时期企业就业的促进效应更大。</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82" w:firstLineChars="200"/>
        <w:textAlignment w:val="center"/>
        <w:rPr>
          <w:rFonts w:hint="eastAsia" w:ascii="仿宋" w:hAnsi="仿宋" w:eastAsia="仿宋" w:cs="仿宋"/>
          <w:b/>
          <w:bCs/>
          <w:sz w:val="24"/>
          <w:szCs w:val="24"/>
        </w:rPr>
      </w:pPr>
      <w:r>
        <w:rPr>
          <w:rFonts w:hint="eastAsia" w:ascii="仿宋" w:hAnsi="仿宋" w:eastAsia="仿宋" w:cs="仿宋"/>
          <w:b/>
          <w:bCs/>
          <w:sz w:val="24"/>
          <w:szCs w:val="24"/>
        </w:rPr>
        <w:t>6.在地区-行业维度进行估计</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截至目前，我们从微观层面考察了互联网发展对企业就业的影响。为了保持研究的完整性以及出于稳健性的考虑，这里进一步在地区-行业维度检验互联网发展与就业之间的关系，设定如下回归模型：</w:t>
      </w:r>
    </w:p>
    <w:p>
      <w:pPr>
        <w:keepNext w:val="0"/>
        <w:keepLines w:val="0"/>
        <w:pageBreakBefore w:val="0"/>
        <w:kinsoku/>
        <w:wordWrap w:val="0"/>
        <w:overflowPunct/>
        <w:topLinePunct w:val="0"/>
        <w:autoSpaceDE/>
        <w:autoSpaceDN/>
        <w:bidi w:val="0"/>
        <w:adjustRightInd/>
        <w:snapToGrid/>
        <w:spacing w:line="360" w:lineRule="auto"/>
        <w:ind w:firstLine="480" w:firstLineChars="200"/>
        <w:jc w:val="right"/>
        <w:textAlignment w:val="center"/>
        <w:rPr>
          <w:rFonts w:hint="eastAsia" w:ascii="仿宋" w:hAnsi="仿宋" w:eastAsia="仿宋" w:cs="仿宋"/>
          <w:sz w:val="24"/>
          <w:szCs w:val="24"/>
        </w:rPr>
      </w:pPr>
      <w:r>
        <w:rPr>
          <w:rFonts w:hint="eastAsia" w:ascii="仿宋" w:hAnsi="仿宋" w:eastAsia="仿宋" w:cs="仿宋"/>
          <w:sz w:val="24"/>
          <w:szCs w:val="24"/>
        </w:rPr>
        <w:object>
          <v:shape id="_x0000_i1031" o:spt="75" type="#_x0000_t75" style="height:16.05pt;width:289.9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A</w:t>
      </w:r>
      <w:r>
        <w:rPr>
          <w:rFonts w:hint="eastAsia" w:ascii="仿宋" w:hAnsi="仿宋" w:eastAsia="仿宋" w:cs="仿宋"/>
          <w:sz w:val="24"/>
          <w:szCs w:val="24"/>
        </w:rPr>
        <w:t>1）</w:t>
      </w:r>
    </w:p>
    <w:p>
      <w:pPr>
        <w:keepNext w:val="0"/>
        <w:keepLines w:val="0"/>
        <w:pageBreakBefore w:val="0"/>
        <w:kinsoku/>
        <w:overflowPunct/>
        <w:topLinePunct w:val="0"/>
        <w:autoSpaceDE/>
        <w:autoSpaceDN/>
        <w:bidi w:val="0"/>
        <w:adjustRightInd/>
        <w:snapToGrid/>
        <w:spacing w:line="360" w:lineRule="auto"/>
        <w:textAlignment w:val="center"/>
        <w:rPr>
          <w:rFonts w:hint="eastAsia" w:ascii="仿宋" w:hAnsi="仿宋" w:eastAsia="仿宋" w:cs="仿宋"/>
          <w:sz w:val="24"/>
          <w:szCs w:val="24"/>
        </w:rPr>
      </w:pPr>
      <w:r>
        <w:rPr>
          <w:rFonts w:hint="eastAsia" w:ascii="仿宋" w:hAnsi="仿宋" w:eastAsia="仿宋" w:cs="仿宋"/>
          <w:sz w:val="24"/>
          <w:szCs w:val="24"/>
        </w:rPr>
        <w:t>其中，因变量</w:t>
      </w:r>
      <w:r>
        <w:rPr>
          <w:rFonts w:hint="eastAsia" w:ascii="仿宋" w:hAnsi="仿宋" w:eastAsia="仿宋" w:cs="仿宋"/>
          <w:sz w:val="24"/>
          <w:szCs w:val="24"/>
        </w:rPr>
        <w:object>
          <v:shape id="_x0000_i1032" o:spt="75" type="#_x0000_t75" style="height:16.05pt;width:31.0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ascii="仿宋" w:hAnsi="仿宋" w:eastAsia="仿宋" w:cs="仿宋"/>
          <w:sz w:val="24"/>
          <w:szCs w:val="24"/>
        </w:rPr>
        <w:t>用地区-行业层面企业就业总人数的自然对数值衡量；与前文类似，</w:t>
      </w:r>
      <w:r>
        <w:rPr>
          <w:rFonts w:hint="eastAsia" w:ascii="仿宋" w:hAnsi="仿宋" w:eastAsia="仿宋" w:cs="仿宋"/>
          <w:sz w:val="24"/>
          <w:szCs w:val="24"/>
        </w:rPr>
        <w:object>
          <v:shape id="_x0000_i1033" o:spt="75" type="#_x0000_t75" style="height:16.05pt;width:46.0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ascii="仿宋" w:hAnsi="仿宋" w:eastAsia="仿宋" w:cs="仿宋"/>
          <w:sz w:val="24"/>
          <w:szCs w:val="24"/>
        </w:rPr>
        <w:t>和</w:t>
      </w:r>
      <w:r>
        <w:rPr>
          <w:rFonts w:hint="eastAsia" w:ascii="仿宋" w:hAnsi="仿宋" w:eastAsia="仿宋" w:cs="仿宋"/>
          <w:sz w:val="24"/>
          <w:szCs w:val="24"/>
        </w:rPr>
        <w:object>
          <v:shape id="_x0000_i1034" o:spt="75" type="#_x0000_t75" style="height:16.05pt;width:60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eastAsia" w:ascii="仿宋" w:hAnsi="仿宋" w:eastAsia="仿宋" w:cs="仿宋"/>
          <w:sz w:val="24"/>
          <w:szCs w:val="24"/>
        </w:rPr>
        <w:t>分别表示地区互联网发展水平和行业互联网使用密集度；控制变量集合</w:t>
      </w:r>
      <w:r>
        <w:rPr>
          <w:rFonts w:hint="eastAsia" w:ascii="仿宋" w:hAnsi="仿宋" w:eastAsia="仿宋" w:cs="仿宋"/>
          <w:sz w:val="24"/>
          <w:szCs w:val="24"/>
        </w:rPr>
        <w:object>
          <v:shape id="_x0000_i1035" o:spt="75" type="#_x0000_t75" style="height:16.05pt;width:19.0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ascii="仿宋" w:hAnsi="仿宋" w:eastAsia="仿宋" w:cs="仿宋"/>
          <w:sz w:val="24"/>
          <w:szCs w:val="24"/>
        </w:rPr>
        <w:t>包括地区-行业层面企业平均成立年限、平均资本密集度、地区人均实际GDP、地区产业结构、城市最低工资、地区-行业层面赫芬达尔指数、行业最终品关税、行业中间品关税、国有企业改革和外资放松管制措施；此外我们在回归中控制了</w:t>
      </w:r>
      <w:r>
        <w:rPr>
          <w:rFonts w:hint="eastAsia" w:ascii="仿宋" w:hAnsi="仿宋" w:eastAsia="仿宋" w:cs="仿宋"/>
          <w:kern w:val="0"/>
          <w:sz w:val="24"/>
          <w:szCs w:val="24"/>
        </w:rPr>
        <w:t>地区-行业固定效应</w:t>
      </w:r>
      <w:r>
        <w:rPr>
          <w:rFonts w:hint="eastAsia" w:ascii="仿宋" w:hAnsi="仿宋" w:eastAsia="仿宋" w:cs="仿宋"/>
          <w:sz w:val="24"/>
          <w:szCs w:val="24"/>
        </w:rPr>
        <w:object>
          <v:shape id="_x0000_i1036" o:spt="75" type="#_x0000_t75" style="height:16.05pt;width:13.9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仿宋" w:hAnsi="仿宋" w:eastAsia="仿宋" w:cs="仿宋"/>
          <w:kern w:val="0"/>
          <w:sz w:val="24"/>
          <w:szCs w:val="24"/>
        </w:rPr>
        <w:t>和年份固定效应</w:t>
      </w:r>
      <w:r>
        <w:rPr>
          <w:rFonts w:hint="eastAsia" w:ascii="仿宋" w:hAnsi="仿宋" w:eastAsia="仿宋" w:cs="仿宋"/>
          <w:sz w:val="24"/>
          <w:szCs w:val="24"/>
        </w:rPr>
        <w:object>
          <v:shape id="_x0000_i1037" o:spt="75" type="#_x0000_t75" style="height:16.05pt;width:10.9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ascii="仿宋" w:hAnsi="仿宋" w:eastAsia="仿宋" w:cs="仿宋"/>
          <w:kern w:val="0"/>
          <w:sz w:val="24"/>
          <w:szCs w:val="24"/>
        </w:rPr>
        <w:t>；</w:t>
      </w:r>
      <w:r>
        <w:rPr>
          <w:rFonts w:hint="eastAsia" w:ascii="仿宋" w:hAnsi="仿宋" w:eastAsia="仿宋" w:cs="仿宋"/>
          <w:sz w:val="24"/>
          <w:szCs w:val="24"/>
        </w:rPr>
        <w:object>
          <v:shape id="_x0000_i1038" o:spt="75" type="#_x0000_t75" style="height:16.05pt;width:16.0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仿宋" w:hAnsi="仿宋" w:eastAsia="仿宋" w:cs="仿宋"/>
          <w:kern w:val="0"/>
          <w:sz w:val="24"/>
          <w:szCs w:val="24"/>
        </w:rPr>
        <w:t>为随机误差项。</w:t>
      </w:r>
      <w:r>
        <w:rPr>
          <w:rFonts w:hint="eastAsia" w:ascii="仿宋" w:hAnsi="仿宋" w:eastAsia="仿宋" w:cs="仿宋"/>
          <w:sz w:val="24"/>
          <w:szCs w:val="24"/>
        </w:rPr>
        <w:t>表</w:t>
      </w:r>
      <w:r>
        <w:rPr>
          <w:rFonts w:hint="eastAsia" w:ascii="仿宋" w:hAnsi="仿宋" w:eastAsia="仿宋" w:cs="仿宋"/>
          <w:sz w:val="24"/>
          <w:szCs w:val="24"/>
          <w:lang w:val="en-US" w:eastAsia="zh-CN"/>
        </w:rPr>
        <w:t>A</w:t>
      </w:r>
      <w:r>
        <w:rPr>
          <w:rFonts w:hint="eastAsia" w:ascii="仿宋" w:hAnsi="仿宋" w:eastAsia="仿宋" w:cs="仿宋"/>
          <w:sz w:val="24"/>
          <w:szCs w:val="24"/>
        </w:rPr>
        <w:t>1</w:t>
      </w:r>
      <w:r>
        <w:rPr>
          <w:rFonts w:hint="eastAsia" w:ascii="仿宋" w:hAnsi="仿宋" w:eastAsia="仿宋" w:cs="仿宋"/>
          <w:kern w:val="0"/>
          <w:sz w:val="24"/>
          <w:szCs w:val="24"/>
        </w:rPr>
        <w:t>第</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列报告了对式（2）的回归结果。</w:t>
      </w:r>
      <w:r>
        <w:rPr>
          <w:rStyle w:val="7"/>
          <w:rFonts w:hint="eastAsia" w:ascii="仿宋" w:hAnsi="仿宋" w:eastAsia="仿宋" w:cs="仿宋"/>
          <w:kern w:val="0"/>
          <w:sz w:val="24"/>
          <w:szCs w:val="24"/>
        </w:rPr>
        <w:footnoteReference w:id="0"/>
      </w:r>
      <w:r>
        <w:rPr>
          <w:rFonts w:hint="eastAsia" w:ascii="仿宋" w:hAnsi="仿宋" w:eastAsia="仿宋" w:cs="仿宋"/>
          <w:kern w:val="0"/>
          <w:sz w:val="24"/>
          <w:szCs w:val="24"/>
        </w:rPr>
        <w:t>从中可以看到，交叉项</w:t>
      </w:r>
      <w:r>
        <w:rPr>
          <w:rFonts w:hint="eastAsia" w:ascii="仿宋" w:hAnsi="仿宋" w:eastAsia="仿宋" w:cs="仿宋"/>
          <w:i/>
          <w:sz w:val="24"/>
          <w:szCs w:val="24"/>
        </w:rPr>
        <w:t>INTNET</w:t>
      </w:r>
      <w:r>
        <w:rPr>
          <w:rFonts w:hint="eastAsia" w:ascii="仿宋" w:hAnsi="仿宋" w:eastAsia="仿宋" w:cs="仿宋"/>
          <w:sz w:val="24"/>
          <w:szCs w:val="24"/>
          <w:lang w:val="en-US" w:eastAsia="zh-CN"/>
        </w:rPr>
        <w:t>×</w:t>
      </w:r>
      <w:r>
        <w:rPr>
          <w:rFonts w:hint="eastAsia" w:ascii="仿宋" w:hAnsi="仿宋" w:eastAsia="仿宋" w:cs="仿宋"/>
          <w:i/>
          <w:sz w:val="24"/>
          <w:szCs w:val="24"/>
        </w:rPr>
        <w:t>INTNETints</w:t>
      </w:r>
      <w:r>
        <w:rPr>
          <w:rFonts w:hint="eastAsia" w:ascii="仿宋" w:hAnsi="仿宋" w:eastAsia="仿宋" w:cs="仿宋"/>
          <w:sz w:val="24"/>
          <w:szCs w:val="24"/>
        </w:rPr>
        <w:t>的估计系数显著为正，表明随着地区互联网发展水平的提高，高互联网依赖度行业的就业水平较于低互联网依赖度行业有更大幅度的提升，换言之，互联网发展显著促进了制造业就业水平的提高。</w:t>
      </w:r>
    </w:p>
    <w:p>
      <w:pPr>
        <w:keepNext w:val="0"/>
        <w:keepLines w:val="0"/>
        <w:pageBreakBefore w:val="0"/>
        <w:kinsoku/>
        <w:overflowPunct/>
        <w:topLinePunct w:val="0"/>
        <w:autoSpaceDE/>
        <w:autoSpaceDN/>
        <w:bidi w:val="0"/>
        <w:adjustRightInd/>
        <w:snapToGrid/>
        <w:spacing w:line="360" w:lineRule="auto"/>
        <w:ind w:firstLine="442" w:firstLineChars="200"/>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A</w:t>
      </w:r>
      <w:r>
        <w:rPr>
          <w:rFonts w:hint="eastAsia" w:ascii="仿宋" w:hAnsi="仿宋" w:eastAsia="仿宋" w:cs="仿宋"/>
          <w:b/>
          <w:bCs/>
          <w:sz w:val="22"/>
          <w:szCs w:val="22"/>
        </w:rPr>
        <w:t>1  稳健性检验</w:t>
      </w:r>
    </w:p>
    <w:tbl>
      <w:tblPr>
        <w:tblStyle w:val="5"/>
        <w:tblW w:w="9649" w:type="dxa"/>
        <w:jc w:val="center"/>
        <w:tblLayout w:type="fixed"/>
        <w:tblCellMar>
          <w:top w:w="0" w:type="dxa"/>
          <w:left w:w="108" w:type="dxa"/>
          <w:bottom w:w="0" w:type="dxa"/>
          <w:right w:w="108" w:type="dxa"/>
        </w:tblCellMar>
      </w:tblPr>
      <w:tblGrid>
        <w:gridCol w:w="2212"/>
        <w:gridCol w:w="1224"/>
        <w:gridCol w:w="1344"/>
        <w:gridCol w:w="1134"/>
        <w:gridCol w:w="1422"/>
        <w:gridCol w:w="1074"/>
        <w:gridCol w:w="1239"/>
      </w:tblGrid>
      <w:tr>
        <w:tblPrEx>
          <w:tblCellMar>
            <w:top w:w="0" w:type="dxa"/>
            <w:left w:w="108" w:type="dxa"/>
            <w:bottom w:w="0" w:type="dxa"/>
            <w:right w:w="108" w:type="dxa"/>
          </w:tblCellMar>
        </w:tblPrEx>
        <w:trPr>
          <w:trHeight w:val="255" w:hRule="atLeast"/>
          <w:jc w:val="center"/>
        </w:trPr>
        <w:tc>
          <w:tcPr>
            <w:tcW w:w="2212" w:type="dxa"/>
            <w:tcBorders>
              <w:top w:val="single" w:color="000000" w:sz="4" w:space="0"/>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0"/>
                <w:szCs w:val="20"/>
              </w:rPr>
            </w:pPr>
          </w:p>
        </w:tc>
        <w:tc>
          <w:tcPr>
            <w:tcW w:w="1224" w:type="dxa"/>
            <w:tcBorders>
              <w:top w:val="single" w:color="000000" w:sz="4" w:space="0"/>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344" w:type="dxa"/>
            <w:tcBorders>
              <w:top w:val="single" w:color="000000" w:sz="4" w:space="0"/>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134" w:type="dxa"/>
            <w:tcBorders>
              <w:top w:val="single" w:color="000000" w:sz="4" w:space="0"/>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422" w:type="dxa"/>
            <w:tcBorders>
              <w:top w:val="single" w:color="000000" w:sz="4" w:space="0"/>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(4)</w:t>
            </w:r>
          </w:p>
        </w:tc>
        <w:tc>
          <w:tcPr>
            <w:tcW w:w="1074" w:type="dxa"/>
            <w:tcBorders>
              <w:top w:val="single" w:color="000000" w:sz="4" w:space="0"/>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(5)</w:t>
            </w:r>
          </w:p>
        </w:tc>
        <w:tc>
          <w:tcPr>
            <w:tcW w:w="1239" w:type="dxa"/>
            <w:tcBorders>
              <w:top w:val="single" w:color="000000" w:sz="4" w:space="0"/>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(6)</w:t>
            </w:r>
          </w:p>
        </w:tc>
      </w:tr>
      <w:tr>
        <w:tblPrEx>
          <w:tblCellMar>
            <w:top w:w="0" w:type="dxa"/>
            <w:left w:w="108" w:type="dxa"/>
            <w:bottom w:w="0" w:type="dxa"/>
            <w:right w:w="108" w:type="dxa"/>
          </w:tblCellMar>
        </w:tblPrEx>
        <w:trPr>
          <w:trHeight w:val="255" w:hRule="atLeast"/>
          <w:jc w:val="center"/>
        </w:trPr>
        <w:tc>
          <w:tcPr>
            <w:tcW w:w="2212"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0"/>
                <w:szCs w:val="20"/>
              </w:rPr>
            </w:pPr>
          </w:p>
        </w:tc>
        <w:tc>
          <w:tcPr>
            <w:tcW w:w="1224" w:type="dxa"/>
            <w:tcBorders>
              <w:top w:val="nil"/>
              <w:left w:val="nil"/>
              <w:bottom w:val="single" w:color="auto" w:sz="4" w:space="0"/>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rPr>
              <w:t>CN域名数</w:t>
            </w:r>
          </w:p>
        </w:tc>
        <w:tc>
          <w:tcPr>
            <w:tcW w:w="1344" w:type="dxa"/>
            <w:tcBorders>
              <w:top w:val="nil"/>
              <w:left w:val="nil"/>
              <w:bottom w:val="single" w:color="auto" w:sz="4" w:space="0"/>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sz w:val="20"/>
                <w:szCs w:val="20"/>
              </w:rPr>
            </w:pPr>
            <w:r>
              <w:rPr>
                <w:rFonts w:hint="eastAsia" w:ascii="仿宋" w:hAnsi="仿宋" w:eastAsia="仿宋" w:cs="仿宋"/>
                <w:sz w:val="20"/>
                <w:szCs w:val="20"/>
              </w:rPr>
              <w:t>长途光缆</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i/>
                <w:kern w:val="0"/>
                <w:sz w:val="20"/>
                <w:szCs w:val="20"/>
              </w:rPr>
            </w:pPr>
            <w:r>
              <w:rPr>
                <w:rFonts w:hint="eastAsia" w:ascii="仿宋" w:hAnsi="仿宋" w:eastAsia="仿宋" w:cs="仿宋"/>
                <w:sz w:val="20"/>
                <w:szCs w:val="20"/>
              </w:rPr>
              <w:t>线路长度</w:t>
            </w:r>
          </w:p>
        </w:tc>
        <w:tc>
          <w:tcPr>
            <w:tcW w:w="1134" w:type="dxa"/>
            <w:tcBorders>
              <w:top w:val="nil"/>
              <w:left w:val="nil"/>
              <w:bottom w:val="single" w:color="auto" w:sz="4" w:space="0"/>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i/>
                <w:kern w:val="0"/>
                <w:sz w:val="20"/>
                <w:szCs w:val="20"/>
              </w:rPr>
            </w:pPr>
            <w:r>
              <w:rPr>
                <w:rFonts w:hint="eastAsia" w:ascii="仿宋" w:hAnsi="仿宋" w:eastAsia="仿宋" w:cs="仿宋"/>
                <w:kern w:val="0"/>
                <w:sz w:val="20"/>
                <w:szCs w:val="20"/>
              </w:rPr>
              <w:t>就业增长率</w:t>
            </w:r>
          </w:p>
        </w:tc>
        <w:tc>
          <w:tcPr>
            <w:tcW w:w="1422" w:type="dxa"/>
            <w:tcBorders>
              <w:top w:val="nil"/>
              <w:left w:val="nil"/>
              <w:bottom w:val="single" w:color="auto" w:sz="4" w:space="0"/>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控制其他维度的比较优势</w:t>
            </w:r>
          </w:p>
        </w:tc>
        <w:tc>
          <w:tcPr>
            <w:tcW w:w="1074" w:type="dxa"/>
            <w:tcBorders>
              <w:top w:val="nil"/>
              <w:left w:val="nil"/>
              <w:bottom w:val="single" w:color="auto" w:sz="4" w:space="0"/>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地区</w:t>
            </w:r>
            <w:r>
              <w:rPr>
                <w:rFonts w:hint="eastAsia" w:ascii="仿宋" w:hAnsi="仿宋" w:eastAsia="仿宋" w:cs="仿宋"/>
                <w:sz w:val="20"/>
                <w:szCs w:val="20"/>
                <w:lang w:val="en-US" w:eastAsia="zh-CN"/>
              </w:rPr>
              <w:t>×</w:t>
            </w:r>
            <w:r>
              <w:rPr>
                <w:rFonts w:hint="eastAsia" w:ascii="仿宋" w:hAnsi="仿宋" w:eastAsia="仿宋" w:cs="仿宋"/>
                <w:kern w:val="0"/>
                <w:sz w:val="20"/>
                <w:szCs w:val="20"/>
              </w:rPr>
              <w:t>年份FE</w:t>
            </w:r>
          </w:p>
        </w:tc>
        <w:tc>
          <w:tcPr>
            <w:tcW w:w="1239" w:type="dxa"/>
            <w:tcBorders>
              <w:top w:val="nil"/>
              <w:left w:val="nil"/>
              <w:bottom w:val="single" w:color="auto" w:sz="4" w:space="0"/>
              <w:right w:val="nil"/>
            </w:tcBorders>
            <w:shd w:val="clear" w:color="auto" w:fill="auto"/>
            <w:noWrap/>
            <w:vAlign w:val="center"/>
          </w:tcPr>
          <w:p>
            <w:pPr>
              <w:keepNext w:val="0"/>
              <w:keepLines w:val="0"/>
              <w:pageBreakBefore w:val="0"/>
              <w:kinsoku/>
              <w:overflowPunct/>
              <w:topLinePunct w:val="0"/>
              <w:autoSpaceDE/>
              <w:autoSpaceDN/>
              <w:bidi w:val="0"/>
              <w:adjustRightInd/>
              <w:snapToGrid/>
              <w:spacing w:line="360" w:lineRule="auto"/>
              <w:jc w:val="center"/>
              <w:textAlignment w:val="center"/>
              <w:rPr>
                <w:rFonts w:hint="eastAsia" w:ascii="仿宋" w:hAnsi="仿宋" w:eastAsia="仿宋" w:cs="仿宋"/>
                <w:sz w:val="20"/>
                <w:szCs w:val="20"/>
              </w:rPr>
            </w:pPr>
            <w:r>
              <w:rPr>
                <w:rFonts w:hint="eastAsia" w:ascii="仿宋" w:hAnsi="仿宋" w:eastAsia="仿宋" w:cs="仿宋"/>
                <w:kern w:val="0"/>
                <w:sz w:val="20"/>
                <w:szCs w:val="20"/>
              </w:rPr>
              <w:t>行业</w:t>
            </w:r>
            <w:r>
              <w:rPr>
                <w:rFonts w:hint="eastAsia" w:ascii="仿宋" w:hAnsi="仿宋" w:eastAsia="仿宋" w:cs="仿宋"/>
                <w:sz w:val="20"/>
                <w:szCs w:val="20"/>
                <w:lang w:val="en-US" w:eastAsia="zh-CN"/>
              </w:rPr>
              <w:t>×</w:t>
            </w:r>
            <w:r>
              <w:rPr>
                <w:rFonts w:hint="eastAsia" w:ascii="仿宋" w:hAnsi="仿宋" w:eastAsia="仿宋" w:cs="仿宋"/>
                <w:kern w:val="0"/>
                <w:sz w:val="20"/>
                <w:szCs w:val="20"/>
              </w:rPr>
              <w:t>年份FE</w:t>
            </w: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i/>
                <w:kern w:val="0"/>
                <w:sz w:val="20"/>
                <w:szCs w:val="20"/>
              </w:rPr>
            </w:pPr>
            <w:r>
              <w:rPr>
                <w:rFonts w:hint="eastAsia" w:ascii="仿宋" w:hAnsi="仿宋" w:eastAsia="仿宋" w:cs="仿宋"/>
                <w:i/>
                <w:kern w:val="0"/>
                <w:sz w:val="20"/>
                <w:szCs w:val="20"/>
              </w:rPr>
              <w:t>INTNETCN</w:t>
            </w:r>
            <w:r>
              <w:rPr>
                <w:rFonts w:hint="eastAsia" w:ascii="仿宋" w:hAnsi="仿宋" w:eastAsia="仿宋" w:cs="仿宋"/>
                <w:sz w:val="20"/>
                <w:szCs w:val="20"/>
                <w:lang w:val="en-US" w:eastAsia="zh-CN"/>
              </w:rPr>
              <w:t>×</w:t>
            </w:r>
            <w:r>
              <w:rPr>
                <w:rFonts w:hint="eastAsia" w:ascii="仿宋" w:hAnsi="仿宋" w:eastAsia="仿宋" w:cs="仿宋"/>
                <w:i/>
                <w:sz w:val="20"/>
                <w:szCs w:val="20"/>
              </w:rPr>
              <w:t>INTNETints</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0.0002***</w:t>
            </w: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(13.68)</w:t>
            </w: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i/>
                <w:kern w:val="0"/>
                <w:sz w:val="20"/>
                <w:szCs w:val="20"/>
              </w:rPr>
            </w:pPr>
            <w:r>
              <w:rPr>
                <w:rFonts w:hint="eastAsia" w:ascii="仿宋" w:hAnsi="仿宋" w:eastAsia="仿宋" w:cs="仿宋"/>
                <w:i/>
                <w:kern w:val="0"/>
                <w:sz w:val="20"/>
                <w:szCs w:val="20"/>
              </w:rPr>
              <w:t>INTNETFB</w:t>
            </w:r>
            <w:r>
              <w:rPr>
                <w:rFonts w:hint="eastAsia" w:ascii="仿宋" w:hAnsi="仿宋" w:eastAsia="仿宋" w:cs="仿宋"/>
                <w:sz w:val="20"/>
                <w:szCs w:val="20"/>
                <w:lang w:val="en-US" w:eastAsia="zh-CN"/>
              </w:rPr>
              <w:t>×</w:t>
            </w:r>
            <w:r>
              <w:rPr>
                <w:rFonts w:hint="eastAsia" w:ascii="仿宋" w:hAnsi="仿宋" w:eastAsia="仿宋" w:cs="仿宋"/>
                <w:i/>
                <w:sz w:val="20"/>
                <w:szCs w:val="20"/>
              </w:rPr>
              <w:t>INTNETints</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193.3433***</w:t>
            </w: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(13.73)</w:t>
            </w: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i/>
                <w:kern w:val="0"/>
                <w:sz w:val="20"/>
                <w:szCs w:val="20"/>
              </w:rPr>
            </w:pPr>
            <w:r>
              <w:rPr>
                <w:rFonts w:hint="eastAsia" w:ascii="仿宋" w:hAnsi="仿宋" w:eastAsia="仿宋" w:cs="仿宋"/>
                <w:i/>
                <w:sz w:val="20"/>
                <w:szCs w:val="20"/>
              </w:rPr>
              <w:t>INTNET</w:t>
            </w:r>
            <w:r>
              <w:rPr>
                <w:rFonts w:hint="eastAsia" w:ascii="仿宋" w:hAnsi="仿宋" w:eastAsia="仿宋" w:cs="仿宋"/>
                <w:sz w:val="20"/>
                <w:szCs w:val="20"/>
                <w:lang w:val="en-US" w:eastAsia="zh-CN"/>
              </w:rPr>
              <w:t>×</w:t>
            </w:r>
            <w:r>
              <w:rPr>
                <w:rFonts w:hint="eastAsia" w:ascii="仿宋" w:hAnsi="仿宋" w:eastAsia="仿宋" w:cs="仿宋"/>
                <w:i/>
                <w:sz w:val="20"/>
                <w:szCs w:val="20"/>
              </w:rPr>
              <w:t>INTNETints</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0.0274**</w:t>
            </w: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0.4990***</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0.8870***</w:t>
            </w: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0.1332***</w:t>
            </w: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(2.33)</w:t>
            </w: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(23.22)</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(42.35)</w:t>
            </w: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(4.28)</w:t>
            </w: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i/>
                <w:sz w:val="20"/>
                <w:szCs w:val="20"/>
              </w:rPr>
              <w:t>SKILL</w:t>
            </w:r>
            <w:r>
              <w:rPr>
                <w:rFonts w:hint="eastAsia" w:ascii="仿宋" w:hAnsi="仿宋" w:eastAsia="仿宋" w:cs="仿宋"/>
                <w:sz w:val="20"/>
                <w:szCs w:val="20"/>
                <w:lang w:val="en-US" w:eastAsia="zh-CN"/>
              </w:rPr>
              <w:t>×</w:t>
            </w:r>
            <w:r>
              <w:rPr>
                <w:rFonts w:hint="eastAsia" w:ascii="仿宋" w:hAnsi="仿宋" w:eastAsia="仿宋" w:cs="仿宋"/>
                <w:i/>
                <w:sz w:val="20"/>
                <w:szCs w:val="20"/>
              </w:rPr>
              <w:t>SKILLints</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0.0131***</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(29.19)</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i/>
                <w:sz w:val="20"/>
                <w:szCs w:val="20"/>
              </w:rPr>
              <w:t>TRANS</w:t>
            </w:r>
            <w:r>
              <w:rPr>
                <w:rFonts w:hint="eastAsia" w:ascii="仿宋" w:hAnsi="仿宋" w:eastAsia="仿宋" w:cs="仿宋"/>
                <w:sz w:val="20"/>
                <w:szCs w:val="20"/>
                <w:lang w:val="en-US" w:eastAsia="zh-CN"/>
              </w:rPr>
              <w:t>×</w:t>
            </w:r>
            <w:r>
              <w:rPr>
                <w:rFonts w:hint="eastAsia" w:ascii="仿宋" w:hAnsi="仿宋" w:eastAsia="仿宋" w:cs="仿宋"/>
                <w:i/>
                <w:sz w:val="20"/>
                <w:szCs w:val="20"/>
              </w:rPr>
              <w:t>TRANSints</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-0.0681***</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(-3.24)</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i/>
                <w:sz w:val="20"/>
                <w:szCs w:val="20"/>
              </w:rPr>
              <w:t>CAP</w:t>
            </w:r>
            <w:r>
              <w:rPr>
                <w:rFonts w:hint="eastAsia" w:ascii="仿宋" w:hAnsi="仿宋" w:eastAsia="仿宋" w:cs="仿宋"/>
                <w:sz w:val="20"/>
                <w:szCs w:val="20"/>
                <w:lang w:val="en-US" w:eastAsia="zh-CN"/>
              </w:rPr>
              <w:t>×</w:t>
            </w:r>
            <w:r>
              <w:rPr>
                <w:rFonts w:hint="eastAsia" w:ascii="仿宋" w:hAnsi="仿宋" w:eastAsia="仿宋" w:cs="仿宋"/>
                <w:i/>
                <w:sz w:val="20"/>
                <w:szCs w:val="20"/>
              </w:rPr>
              <w:t>CAPints</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0.0000***</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(5.47)</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控制变量</w:t>
            </w:r>
          </w:p>
        </w:tc>
        <w:tc>
          <w:tcPr>
            <w:tcW w:w="122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34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13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422"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07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239"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企业固定效应</w:t>
            </w:r>
          </w:p>
        </w:tc>
        <w:tc>
          <w:tcPr>
            <w:tcW w:w="122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34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13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422"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07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239"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年份固定效应</w:t>
            </w:r>
          </w:p>
        </w:tc>
        <w:tc>
          <w:tcPr>
            <w:tcW w:w="122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34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134"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422" w:type="dxa"/>
            <w:tcBorders>
              <w:top w:val="nil"/>
              <w:left w:val="nil"/>
              <w:bottom w:val="nil"/>
              <w:right w:val="nil"/>
            </w:tcBorders>
            <w:shd w:val="clear" w:color="auto" w:fill="auto"/>
            <w:noWrap/>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地区</w:t>
            </w:r>
            <w:r>
              <w:rPr>
                <w:rFonts w:hint="eastAsia" w:ascii="仿宋" w:hAnsi="仿宋" w:eastAsia="仿宋" w:cs="仿宋"/>
                <w:sz w:val="20"/>
                <w:szCs w:val="20"/>
                <w:lang w:val="en-US" w:eastAsia="zh-CN"/>
              </w:rPr>
              <w:t>×</w:t>
            </w:r>
            <w:r>
              <w:rPr>
                <w:rFonts w:hint="eastAsia" w:ascii="仿宋" w:hAnsi="仿宋" w:eastAsia="仿宋" w:cs="仿宋"/>
                <w:kern w:val="0"/>
                <w:sz w:val="20"/>
                <w:szCs w:val="20"/>
              </w:rPr>
              <w:t>年份固定效应</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074"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c>
          <w:tcPr>
            <w:tcW w:w="1239"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r>
      <w:tr>
        <w:tblPrEx>
          <w:tblCellMar>
            <w:top w:w="0" w:type="dxa"/>
            <w:left w:w="108" w:type="dxa"/>
            <w:bottom w:w="0" w:type="dxa"/>
            <w:right w:w="108" w:type="dxa"/>
          </w:tblCellMar>
        </w:tblPrEx>
        <w:trPr>
          <w:trHeight w:val="454" w:hRule="exact"/>
          <w:jc w:val="center"/>
        </w:trPr>
        <w:tc>
          <w:tcPr>
            <w:tcW w:w="221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行业</w:t>
            </w:r>
            <w:r>
              <w:rPr>
                <w:rFonts w:hint="eastAsia" w:ascii="仿宋" w:hAnsi="仿宋" w:eastAsia="仿宋" w:cs="仿宋"/>
                <w:sz w:val="20"/>
                <w:szCs w:val="20"/>
                <w:lang w:val="en-US" w:eastAsia="zh-CN"/>
              </w:rPr>
              <w:t>×</w:t>
            </w:r>
            <w:r>
              <w:rPr>
                <w:rFonts w:hint="eastAsia" w:ascii="仿宋" w:hAnsi="仿宋" w:eastAsia="仿宋" w:cs="仿宋"/>
                <w:kern w:val="0"/>
                <w:sz w:val="20"/>
                <w:szCs w:val="20"/>
              </w:rPr>
              <w:t>年份固定效应</w:t>
            </w:r>
          </w:p>
        </w:tc>
        <w:tc>
          <w:tcPr>
            <w:tcW w:w="122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34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13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422"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p>
        </w:tc>
        <w:tc>
          <w:tcPr>
            <w:tcW w:w="1074" w:type="dxa"/>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p>
        </w:tc>
        <w:tc>
          <w:tcPr>
            <w:tcW w:w="1239" w:type="dxa"/>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sz w:val="20"/>
                <w:szCs w:val="20"/>
                <w:shd w:val="clear" w:color="auto" w:fill="FFFFFF"/>
              </w:rPr>
              <w:t>√</w:t>
            </w:r>
          </w:p>
        </w:tc>
      </w:tr>
      <w:tr>
        <w:tblPrEx>
          <w:tblCellMar>
            <w:top w:w="0" w:type="dxa"/>
            <w:left w:w="108" w:type="dxa"/>
            <w:bottom w:w="0" w:type="dxa"/>
            <w:right w:w="108" w:type="dxa"/>
          </w:tblCellMar>
        </w:tblPrEx>
        <w:trPr>
          <w:trHeight w:val="454" w:hRule="exact"/>
          <w:jc w:val="center"/>
        </w:trPr>
        <w:tc>
          <w:tcPr>
            <w:tcW w:w="2212"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kern w:val="0"/>
                <w:sz w:val="20"/>
                <w:szCs w:val="20"/>
              </w:rPr>
              <w:t>观测值</w:t>
            </w:r>
          </w:p>
        </w:tc>
        <w:tc>
          <w:tcPr>
            <w:tcW w:w="1224"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3,327,233</w:t>
            </w:r>
          </w:p>
        </w:tc>
        <w:tc>
          <w:tcPr>
            <w:tcW w:w="1344"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3,327,233</w:t>
            </w:r>
          </w:p>
        </w:tc>
        <w:tc>
          <w:tcPr>
            <w:tcW w:w="1134"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2,415,786</w:t>
            </w:r>
          </w:p>
        </w:tc>
        <w:tc>
          <w:tcPr>
            <w:tcW w:w="1422"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3,327,233</w:t>
            </w:r>
          </w:p>
        </w:tc>
        <w:tc>
          <w:tcPr>
            <w:tcW w:w="1074"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3,134,874</w:t>
            </w:r>
          </w:p>
        </w:tc>
        <w:tc>
          <w:tcPr>
            <w:tcW w:w="1239" w:type="dxa"/>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3,134,877</w:t>
            </w:r>
          </w:p>
        </w:tc>
      </w:tr>
      <w:tr>
        <w:tblPrEx>
          <w:tblCellMar>
            <w:top w:w="0" w:type="dxa"/>
            <w:left w:w="108" w:type="dxa"/>
            <w:bottom w:w="0" w:type="dxa"/>
            <w:right w:w="108" w:type="dxa"/>
          </w:tblCellMar>
        </w:tblPrEx>
        <w:trPr>
          <w:trHeight w:val="454" w:hRule="exact"/>
          <w:jc w:val="center"/>
        </w:trPr>
        <w:tc>
          <w:tcPr>
            <w:tcW w:w="2212"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仿宋" w:hAnsi="仿宋" w:eastAsia="仿宋" w:cs="仿宋"/>
                <w:kern w:val="0"/>
                <w:sz w:val="20"/>
                <w:szCs w:val="20"/>
              </w:rPr>
            </w:pPr>
            <w:r>
              <w:rPr>
                <w:rFonts w:hint="eastAsia" w:ascii="仿宋" w:hAnsi="仿宋" w:eastAsia="仿宋" w:cs="仿宋"/>
                <w:i/>
                <w:iCs/>
                <w:kern w:val="0"/>
                <w:sz w:val="20"/>
                <w:szCs w:val="20"/>
              </w:rPr>
              <w:t>R</w:t>
            </w:r>
            <w:r>
              <w:rPr>
                <w:rFonts w:hint="eastAsia" w:ascii="仿宋" w:hAnsi="仿宋" w:eastAsia="仿宋" w:cs="仿宋"/>
                <w:kern w:val="0"/>
                <w:sz w:val="20"/>
                <w:szCs w:val="20"/>
                <w:vertAlign w:val="superscript"/>
              </w:rPr>
              <w:t>2</w:t>
            </w:r>
          </w:p>
        </w:tc>
        <w:tc>
          <w:tcPr>
            <w:tcW w:w="1224"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0.876</w:t>
            </w:r>
          </w:p>
        </w:tc>
        <w:tc>
          <w:tcPr>
            <w:tcW w:w="1344"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0.876</w:t>
            </w:r>
          </w:p>
        </w:tc>
        <w:tc>
          <w:tcPr>
            <w:tcW w:w="1134"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0.339</w:t>
            </w:r>
          </w:p>
        </w:tc>
        <w:tc>
          <w:tcPr>
            <w:tcW w:w="1422"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0.877</w:t>
            </w:r>
          </w:p>
        </w:tc>
        <w:tc>
          <w:tcPr>
            <w:tcW w:w="1074"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0.871</w:t>
            </w:r>
          </w:p>
        </w:tc>
        <w:tc>
          <w:tcPr>
            <w:tcW w:w="1239" w:type="dxa"/>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仿宋" w:hAnsi="仿宋" w:eastAsia="仿宋" w:cs="仿宋"/>
                <w:kern w:val="0"/>
                <w:sz w:val="20"/>
                <w:szCs w:val="20"/>
              </w:rPr>
            </w:pPr>
            <w:r>
              <w:rPr>
                <w:rFonts w:hint="eastAsia" w:ascii="仿宋" w:hAnsi="仿宋" w:eastAsia="仿宋" w:cs="仿宋"/>
                <w:kern w:val="0"/>
                <w:sz w:val="20"/>
                <w:szCs w:val="20"/>
              </w:rPr>
              <w:t>0.869</w:t>
            </w:r>
          </w:p>
        </w:tc>
      </w:tr>
    </w:tbl>
    <w:p>
      <w:pPr>
        <w:keepNext w:val="0"/>
        <w:keepLines w:val="0"/>
        <w:pageBreakBefore w:val="0"/>
        <w:kinsoku/>
        <w:overflowPunct/>
        <w:topLinePunct w:val="0"/>
        <w:autoSpaceDE/>
        <w:autoSpaceDN/>
        <w:bidi w:val="0"/>
        <w:adjustRightInd/>
        <w:snapToGrid/>
        <w:spacing w:line="360" w:lineRule="auto"/>
        <w:ind w:firstLine="360" w:firstLineChars="200"/>
        <w:jc w:val="left"/>
        <w:textAlignment w:val="center"/>
        <w:rPr>
          <w:rFonts w:hint="eastAsia" w:ascii="仿宋" w:hAnsi="仿宋" w:eastAsia="仿宋" w:cs="仿宋"/>
          <w:sz w:val="18"/>
          <w:szCs w:val="18"/>
        </w:rPr>
      </w:pPr>
      <w:r>
        <w:rPr>
          <w:rFonts w:hint="eastAsia" w:ascii="仿宋" w:hAnsi="仿宋" w:eastAsia="仿宋" w:cs="仿宋"/>
          <w:sz w:val="18"/>
          <w:szCs w:val="18"/>
        </w:rPr>
        <w:t>注：括号内数值为在地区-行业层面聚类稳健标准误下对应的</w:t>
      </w:r>
      <w:r>
        <w:rPr>
          <w:rFonts w:hint="eastAsia" w:ascii="仿宋" w:hAnsi="仿宋" w:eastAsia="仿宋" w:cs="仿宋"/>
          <w:i/>
          <w:iCs/>
          <w:sz w:val="18"/>
          <w:szCs w:val="18"/>
        </w:rPr>
        <w:t>t</w:t>
      </w:r>
      <w:r>
        <w:rPr>
          <w:rFonts w:hint="eastAsia" w:ascii="仿宋" w:hAnsi="仿宋" w:eastAsia="仿宋" w:cs="仿宋"/>
          <w:sz w:val="18"/>
          <w:szCs w:val="18"/>
        </w:rPr>
        <w:t>值；***、**和*分别表示1%、5%和10%的显著性水平；表中没有报告控制变量和常数项的回归结果（下同）。</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42" w:firstLineChars="200"/>
        <w:jc w:val="center"/>
        <w:textAlignment w:val="center"/>
        <w:rPr>
          <w:rFonts w:hint="eastAsia" w:ascii="仿宋" w:hAnsi="仿宋" w:eastAsia="仿宋" w:cs="仿宋"/>
          <w:b/>
          <w:bCs/>
          <w:sz w:val="22"/>
          <w:szCs w:val="22"/>
        </w:rPr>
      </w:pPr>
      <w:r>
        <w:rPr>
          <w:rFonts w:hint="eastAsia" w:ascii="仿宋" w:hAnsi="仿宋" w:eastAsia="仿宋" w:cs="仿宋"/>
          <w:b/>
          <w:bCs/>
          <w:sz w:val="22"/>
          <w:szCs w:val="22"/>
        </w:rPr>
        <w:t>表</w:t>
      </w:r>
      <w:r>
        <w:rPr>
          <w:rFonts w:hint="eastAsia" w:ascii="仿宋" w:hAnsi="仿宋" w:eastAsia="仿宋" w:cs="仿宋"/>
          <w:b/>
          <w:bCs/>
          <w:sz w:val="22"/>
          <w:szCs w:val="22"/>
          <w:lang w:val="en-US" w:eastAsia="zh-CN"/>
        </w:rPr>
        <w:t>A</w:t>
      </w:r>
      <w:r>
        <w:rPr>
          <w:rFonts w:hint="eastAsia" w:ascii="仿宋" w:hAnsi="仿宋" w:eastAsia="仿宋" w:cs="仿宋"/>
          <w:b/>
          <w:bCs/>
          <w:sz w:val="22"/>
          <w:szCs w:val="22"/>
        </w:rPr>
        <w:t>1  稳健性检验（续）</w:t>
      </w:r>
    </w:p>
    <w:tbl>
      <w:tblPr>
        <w:tblStyle w:val="5"/>
        <w:tblW w:w="5000" w:type="pct"/>
        <w:jc w:val="center"/>
        <w:tblLayout w:type="autofit"/>
        <w:tblCellMar>
          <w:top w:w="0" w:type="dxa"/>
          <w:left w:w="108" w:type="dxa"/>
          <w:bottom w:w="0" w:type="dxa"/>
          <w:right w:w="108" w:type="dxa"/>
        </w:tblCellMar>
      </w:tblPr>
      <w:tblGrid>
        <w:gridCol w:w="2353"/>
        <w:gridCol w:w="1529"/>
        <w:gridCol w:w="1529"/>
        <w:gridCol w:w="1529"/>
        <w:gridCol w:w="1582"/>
      </w:tblGrid>
      <w:tr>
        <w:tblPrEx>
          <w:tblCellMar>
            <w:top w:w="0" w:type="dxa"/>
            <w:left w:w="108" w:type="dxa"/>
            <w:bottom w:w="0" w:type="dxa"/>
            <w:right w:w="108" w:type="dxa"/>
          </w:tblCellMar>
        </w:tblPrEx>
        <w:trPr>
          <w:trHeight w:val="454" w:hRule="exact"/>
          <w:jc w:val="center"/>
        </w:trPr>
        <w:tc>
          <w:tcPr>
            <w:tcW w:w="1547" w:type="pct"/>
            <w:tcBorders>
              <w:top w:val="single" w:color="000000" w:sz="4" w:space="0"/>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bookmarkStart w:id="3" w:name="_Hlk94121675"/>
          </w:p>
        </w:tc>
        <w:tc>
          <w:tcPr>
            <w:tcW w:w="838" w:type="pct"/>
            <w:tcBorders>
              <w:top w:val="single" w:color="000000" w:sz="4" w:space="0"/>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838" w:type="pct"/>
            <w:tcBorders>
              <w:top w:val="single" w:color="000000" w:sz="4" w:space="0"/>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910" w:type="pct"/>
            <w:tcBorders>
              <w:top w:val="single" w:color="000000" w:sz="4" w:space="0"/>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(9)</w:t>
            </w:r>
          </w:p>
        </w:tc>
        <w:tc>
          <w:tcPr>
            <w:tcW w:w="867" w:type="pct"/>
            <w:tcBorders>
              <w:top w:val="single" w:color="000000" w:sz="4" w:space="0"/>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p>
        </w:tc>
        <w:tc>
          <w:tcPr>
            <w:tcW w:w="838"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1999</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2007年</w:t>
            </w:r>
          </w:p>
        </w:tc>
        <w:tc>
          <w:tcPr>
            <w:tcW w:w="838"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1999</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2002年</w:t>
            </w:r>
          </w:p>
        </w:tc>
        <w:tc>
          <w:tcPr>
            <w:tcW w:w="910"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2003</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2007年</w:t>
            </w:r>
          </w:p>
        </w:tc>
        <w:tc>
          <w:tcPr>
            <w:tcW w:w="867"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sz w:val="21"/>
                <w:szCs w:val="21"/>
              </w:rPr>
              <w:t>地区-行业层面</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i/>
                <w:sz w:val="21"/>
                <w:szCs w:val="21"/>
              </w:rPr>
              <w:t>INTNET</w:t>
            </w:r>
            <w:r>
              <w:rPr>
                <w:rFonts w:hint="eastAsia" w:ascii="仿宋" w:hAnsi="仿宋" w:eastAsia="仿宋" w:cs="仿宋"/>
                <w:sz w:val="21"/>
                <w:szCs w:val="21"/>
              </w:rPr>
              <w:sym w:font="Symbol Tiger Expert" w:char="F0B4"/>
            </w:r>
            <w:r>
              <w:rPr>
                <w:rFonts w:hint="eastAsia" w:ascii="仿宋" w:hAnsi="仿宋" w:eastAsia="仿宋" w:cs="仿宋"/>
                <w:i/>
                <w:sz w:val="21"/>
                <w:szCs w:val="21"/>
              </w:rPr>
              <w:t>INTNETints</w:t>
            </w:r>
          </w:p>
        </w:tc>
        <w:tc>
          <w:tcPr>
            <w:tcW w:w="838"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1.7352***</w:t>
            </w:r>
          </w:p>
        </w:tc>
        <w:tc>
          <w:tcPr>
            <w:tcW w:w="838"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-0.2942</w:t>
            </w:r>
          </w:p>
        </w:tc>
        <w:tc>
          <w:tcPr>
            <w:tcW w:w="910"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1.6161***</w:t>
            </w:r>
          </w:p>
        </w:tc>
        <w:tc>
          <w:tcPr>
            <w:tcW w:w="867"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0.4276***</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p>
        </w:tc>
        <w:tc>
          <w:tcPr>
            <w:tcW w:w="838"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(39.61)</w:t>
            </w:r>
          </w:p>
        </w:tc>
        <w:tc>
          <w:tcPr>
            <w:tcW w:w="838"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(-1.41)</w:t>
            </w:r>
          </w:p>
        </w:tc>
        <w:tc>
          <w:tcPr>
            <w:tcW w:w="910"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(38.69)</w:t>
            </w:r>
          </w:p>
        </w:tc>
        <w:tc>
          <w:tcPr>
            <w:tcW w:w="867"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(2.96)</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控制变量</w:t>
            </w:r>
          </w:p>
        </w:tc>
        <w:tc>
          <w:tcPr>
            <w:tcW w:w="838"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838"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910"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867"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企业固定效应</w:t>
            </w:r>
          </w:p>
        </w:tc>
        <w:tc>
          <w:tcPr>
            <w:tcW w:w="838"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838"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910"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867"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54" w:hRule="exact"/>
          <w:jc w:val="center"/>
        </w:trPr>
        <w:tc>
          <w:tcPr>
            <w:tcW w:w="1547" w:type="pct"/>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年份固定效应</w:t>
            </w:r>
          </w:p>
        </w:tc>
        <w:tc>
          <w:tcPr>
            <w:tcW w:w="838"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838"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910"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c>
          <w:tcPr>
            <w:tcW w:w="867"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nil"/>
              <w:right w:val="nil"/>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地区-行业固定效应</w:t>
            </w:r>
          </w:p>
        </w:tc>
        <w:tc>
          <w:tcPr>
            <w:tcW w:w="838"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p>
        </w:tc>
        <w:tc>
          <w:tcPr>
            <w:tcW w:w="838"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p>
        </w:tc>
        <w:tc>
          <w:tcPr>
            <w:tcW w:w="910" w:type="pct"/>
            <w:tcBorders>
              <w:top w:val="nil"/>
              <w:left w:val="nil"/>
              <w:bottom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p>
        </w:tc>
        <w:tc>
          <w:tcPr>
            <w:tcW w:w="867" w:type="pct"/>
            <w:tcBorders>
              <w:top w:val="nil"/>
              <w:left w:val="nil"/>
              <w:bottom w:val="nil"/>
              <w:right w:val="nil"/>
            </w:tcBorders>
            <w:shd w:val="clear" w:color="auto" w:fill="auto"/>
            <w:noWrap/>
          </w:tcPr>
          <w:p>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1"/>
                <w:szCs w:val="21"/>
              </w:rPr>
            </w:pPr>
            <w:r>
              <w:rPr>
                <w:rFonts w:hint="eastAsia" w:ascii="仿宋" w:hAnsi="仿宋" w:eastAsia="仿宋" w:cs="仿宋"/>
                <w:sz w:val="21"/>
                <w:szCs w:val="21"/>
                <w:shd w:val="clear" w:color="auto" w:fill="FFFFFF"/>
              </w:rPr>
              <w:t>√</w:t>
            </w:r>
          </w:p>
        </w:tc>
      </w:tr>
      <w:tr>
        <w:tblPrEx>
          <w:tblCellMar>
            <w:top w:w="0" w:type="dxa"/>
            <w:left w:w="108" w:type="dxa"/>
            <w:bottom w:w="0" w:type="dxa"/>
            <w:right w:w="108" w:type="dxa"/>
          </w:tblCellMar>
        </w:tblPrEx>
        <w:trPr>
          <w:trHeight w:val="454" w:hRule="exact"/>
          <w:jc w:val="center"/>
        </w:trPr>
        <w:tc>
          <w:tcPr>
            <w:tcW w:w="1547" w:type="pct"/>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观测值</w:t>
            </w:r>
          </w:p>
        </w:tc>
        <w:tc>
          <w:tcPr>
            <w:tcW w:w="838" w:type="pct"/>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1,707,796</w:t>
            </w:r>
          </w:p>
        </w:tc>
        <w:tc>
          <w:tcPr>
            <w:tcW w:w="838" w:type="pct"/>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519,716</w:t>
            </w:r>
          </w:p>
        </w:tc>
        <w:tc>
          <w:tcPr>
            <w:tcW w:w="910" w:type="pct"/>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1,188,080</w:t>
            </w:r>
          </w:p>
        </w:tc>
        <w:tc>
          <w:tcPr>
            <w:tcW w:w="867" w:type="pct"/>
            <w:tcBorders>
              <w:top w:val="nil"/>
              <w:left w:val="nil"/>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7,336</w:t>
            </w:r>
          </w:p>
        </w:tc>
      </w:tr>
      <w:tr>
        <w:tblPrEx>
          <w:tblCellMar>
            <w:top w:w="0" w:type="dxa"/>
            <w:left w:w="108" w:type="dxa"/>
            <w:bottom w:w="0" w:type="dxa"/>
            <w:right w:w="108" w:type="dxa"/>
          </w:tblCellMar>
        </w:tblPrEx>
        <w:trPr>
          <w:trHeight w:val="454" w:hRule="exact"/>
          <w:jc w:val="center"/>
        </w:trPr>
        <w:tc>
          <w:tcPr>
            <w:tcW w:w="1547"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left"/>
              <w:rPr>
                <w:rFonts w:hint="eastAsia" w:ascii="仿宋" w:hAnsi="仿宋" w:eastAsia="仿宋" w:cs="仿宋"/>
                <w:kern w:val="0"/>
                <w:sz w:val="21"/>
                <w:szCs w:val="21"/>
              </w:rPr>
            </w:pPr>
            <w:r>
              <w:rPr>
                <w:rFonts w:hint="eastAsia" w:ascii="仿宋" w:hAnsi="仿宋" w:eastAsia="仿宋" w:cs="仿宋"/>
                <w:i/>
                <w:iCs/>
                <w:kern w:val="0"/>
                <w:sz w:val="21"/>
                <w:szCs w:val="21"/>
              </w:rPr>
              <w:t>R</w:t>
            </w:r>
            <w:r>
              <w:rPr>
                <w:rFonts w:hint="eastAsia" w:ascii="仿宋" w:hAnsi="仿宋" w:eastAsia="仿宋" w:cs="仿宋"/>
                <w:kern w:val="0"/>
                <w:sz w:val="21"/>
                <w:szCs w:val="21"/>
                <w:vertAlign w:val="superscript"/>
              </w:rPr>
              <w:t>2</w:t>
            </w:r>
          </w:p>
        </w:tc>
        <w:tc>
          <w:tcPr>
            <w:tcW w:w="838"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0.915</w:t>
            </w:r>
          </w:p>
        </w:tc>
        <w:tc>
          <w:tcPr>
            <w:tcW w:w="838"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0.953</w:t>
            </w:r>
          </w:p>
        </w:tc>
        <w:tc>
          <w:tcPr>
            <w:tcW w:w="910"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0.937</w:t>
            </w:r>
          </w:p>
        </w:tc>
        <w:tc>
          <w:tcPr>
            <w:tcW w:w="867" w:type="pct"/>
            <w:tcBorders>
              <w:top w:val="nil"/>
              <w:left w:val="nil"/>
              <w:bottom w:val="single" w:color="auto" w:sz="4" w:space="0"/>
              <w:right w:val="nil"/>
            </w:tcBorders>
            <w:shd w:val="clear" w:color="auto" w:fill="auto"/>
            <w:noWrap/>
            <w:vAlign w:val="bottom"/>
          </w:tcPr>
          <w:p>
            <w:pPr>
              <w:keepNext w:val="0"/>
              <w:keepLines w:val="0"/>
              <w:pageBreakBefore w:val="0"/>
              <w:widowControl/>
              <w:kinsoku/>
              <w:overflowPunct/>
              <w:topLinePunct w:val="0"/>
              <w:autoSpaceDE/>
              <w:autoSpaceDN/>
              <w:bidi w:val="0"/>
              <w:adjustRightInd/>
              <w:snapToGrid/>
              <w:spacing w:line="36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0.915</w:t>
            </w:r>
          </w:p>
        </w:tc>
      </w:tr>
      <w:bookmarkEnd w:id="3"/>
    </w:tbl>
    <w:p>
      <w:pPr>
        <w:keepNext w:val="0"/>
        <w:keepLines w:val="0"/>
        <w:pageBreakBefore w:val="0"/>
        <w:kinsoku/>
        <w:overflowPunct/>
        <w:topLinePunct w:val="0"/>
        <w:autoSpaceDE/>
        <w:autoSpaceDN/>
        <w:bidi w:val="0"/>
        <w:adjustRightInd/>
        <w:snapToGrid/>
        <w:spacing w:line="360" w:lineRule="auto"/>
        <w:ind w:firstLine="360" w:firstLineChars="200"/>
        <w:textAlignment w:val="center"/>
        <w:rPr>
          <w:rFonts w:hint="eastAsia" w:ascii="仿宋" w:hAnsi="仿宋" w:eastAsia="仿宋" w:cs="仿宋"/>
          <w:sz w:val="18"/>
          <w:szCs w:val="18"/>
        </w:rPr>
      </w:pPr>
      <w:bookmarkStart w:id="4" w:name="_Hlk94121868"/>
      <w:r>
        <w:rPr>
          <w:rFonts w:hint="eastAsia" w:ascii="仿宋" w:hAnsi="仿宋" w:eastAsia="仿宋" w:cs="仿宋"/>
          <w:sz w:val="18"/>
          <w:szCs w:val="18"/>
        </w:rPr>
        <w:t>注：括号内数值为在地区-行业层面聚类稳健标准误下对应的</w:t>
      </w:r>
      <w:r>
        <w:rPr>
          <w:rFonts w:hint="eastAsia" w:ascii="仿宋" w:hAnsi="仿宋" w:eastAsia="仿宋" w:cs="仿宋"/>
          <w:i/>
          <w:iCs/>
          <w:sz w:val="18"/>
          <w:szCs w:val="18"/>
        </w:rPr>
        <w:t>t</w:t>
      </w:r>
      <w:r>
        <w:rPr>
          <w:rFonts w:hint="eastAsia" w:ascii="仿宋" w:hAnsi="仿宋" w:eastAsia="仿宋" w:cs="仿宋"/>
          <w:sz w:val="18"/>
          <w:szCs w:val="18"/>
        </w:rPr>
        <w:t>值；***、**和*分别表示1%、5%和10%的显著性水平。</w:t>
      </w:r>
      <w:bookmarkEnd w:id="4"/>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sz w:val="24"/>
          <w:szCs w:val="24"/>
        </w:rPr>
      </w:pPr>
    </w:p>
    <w:p>
      <w:pPr>
        <w:keepNext w:val="0"/>
        <w:keepLines w:val="0"/>
        <w:pageBreakBefore w:val="0"/>
        <w:kinsoku/>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sz w:val="24"/>
          <w:szCs w:val="24"/>
        </w:rPr>
      </w:pPr>
      <w:bookmarkStart w:id="5" w:name="_GoBack"/>
      <w:bookmarkEnd w:id="5"/>
    </w:p>
    <w:p>
      <w:pPr>
        <w:keepNext w:val="0"/>
        <w:keepLines w:val="0"/>
        <w:pageBreakBefore w:val="0"/>
        <w:kinsoku/>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sz w:val="24"/>
          <w:szCs w:val="24"/>
        </w:rPr>
      </w:pPr>
    </w:p>
    <w:p>
      <w:pPr>
        <w:keepNext w:val="0"/>
        <w:keepLines w:val="0"/>
        <w:pageBreakBefore w:val="0"/>
        <w:kinsoku/>
        <w:overflowPunct/>
        <w:topLinePunct w:val="0"/>
        <w:autoSpaceDE/>
        <w:autoSpaceDN/>
        <w:bidi w:val="0"/>
        <w:adjustRightInd/>
        <w:snapToGrid/>
        <w:spacing w:line="360" w:lineRule="auto"/>
        <w:ind w:firstLine="562" w:firstLineChars="200"/>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附录</w:t>
      </w:r>
      <w:r>
        <w:rPr>
          <w:rFonts w:hint="eastAsia" w:ascii="仿宋" w:hAnsi="仿宋" w:eastAsia="仿宋" w:cs="仿宋"/>
          <w:b/>
          <w:bCs/>
          <w:sz w:val="28"/>
          <w:szCs w:val="28"/>
          <w:lang w:val="en-US" w:eastAsia="zh-CN"/>
        </w:rPr>
        <w:t xml:space="preserve">B  </w:t>
      </w:r>
      <w:r>
        <w:rPr>
          <w:rFonts w:hint="eastAsia" w:ascii="仿宋" w:hAnsi="仿宋" w:eastAsia="仿宋" w:cs="仿宋"/>
          <w:b/>
          <w:bCs/>
          <w:sz w:val="28"/>
          <w:szCs w:val="28"/>
        </w:rPr>
        <w:t>地区-产业劳动收入份额的分解</w:t>
      </w:r>
    </w:p>
    <w:p>
      <w:pPr>
        <w:keepNext w:val="0"/>
        <w:keepLines w:val="0"/>
        <w:pageBreakBefore w:val="0"/>
        <w:kinsoku/>
        <w:overflowPunct/>
        <w:topLinePunct w:val="0"/>
        <w:autoSpaceDE/>
        <w:autoSpaceDN/>
        <w:bidi w:val="0"/>
        <w:adjustRightInd/>
        <w:snapToGrid/>
        <w:spacing w:line="360" w:lineRule="auto"/>
        <w:ind w:firstLine="482" w:firstLineChars="200"/>
        <w:jc w:val="center"/>
        <w:textAlignment w:val="center"/>
        <w:rPr>
          <w:rFonts w:hint="eastAsia" w:ascii="仿宋" w:hAnsi="仿宋" w:eastAsia="仿宋" w:cs="仿宋"/>
          <w:b/>
          <w:bCs/>
          <w:sz w:val="24"/>
          <w:szCs w:val="24"/>
        </w:rPr>
      </w:pP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hint="eastAsia" w:ascii="仿宋" w:hAnsi="仿宋" w:eastAsia="仿宋" w:cs="仿宋"/>
          <w:sz w:val="24"/>
          <w:szCs w:val="24"/>
        </w:rPr>
      </w:pPr>
      <w:r>
        <w:rPr>
          <w:rFonts w:hint="eastAsia" w:ascii="仿宋" w:hAnsi="仿宋" w:eastAsia="仿宋" w:cs="仿宋"/>
          <w:sz w:val="24"/>
          <w:szCs w:val="24"/>
        </w:rPr>
        <w:t>与周茂等（2018）的做法类似，我们按照如下方式对地区-产业劳动收入份额（</w:t>
      </w:r>
      <w:r>
        <w:rPr>
          <w:rFonts w:hint="eastAsia" w:ascii="仿宋" w:hAnsi="仿宋" w:eastAsia="仿宋" w:cs="仿宋"/>
          <w:i/>
          <w:kern w:val="0"/>
          <w:sz w:val="24"/>
          <w:szCs w:val="24"/>
        </w:rPr>
        <w:t>LS</w:t>
      </w:r>
      <w:r>
        <w:rPr>
          <w:rFonts w:hint="eastAsia" w:ascii="仿宋" w:hAnsi="仿宋" w:eastAsia="仿宋" w:cs="仿宋"/>
          <w:sz w:val="24"/>
          <w:szCs w:val="24"/>
        </w:rPr>
        <w:t>）进行分解：</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center"/>
        <w:rPr>
          <w:rFonts w:hint="eastAsia" w:ascii="仿宋" w:hAnsi="仿宋" w:eastAsia="仿宋" w:cs="仿宋"/>
          <w:sz w:val="24"/>
          <w:szCs w:val="24"/>
        </w:rPr>
      </w:pPr>
      <w:r>
        <w:rPr>
          <w:rFonts w:hint="eastAsia" w:ascii="仿宋" w:hAnsi="仿宋" w:eastAsia="仿宋" w:cs="仿宋"/>
          <w:sz w:val="24"/>
          <w:szCs w:val="24"/>
        </w:rPr>
        <w:object>
          <v:shape id="_x0000_i1039" o:spt="75" type="#_x0000_t75" style="height:61.95pt;width:234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B1</w:t>
      </w:r>
      <w:r>
        <w:rPr>
          <w:rFonts w:hint="eastAsia" w:ascii="仿宋" w:hAnsi="仿宋" w:eastAsia="仿宋" w:cs="仿宋"/>
          <w:sz w:val="24"/>
          <w:szCs w:val="24"/>
        </w:rPr>
        <w:t>）</w:t>
      </w:r>
    </w:p>
    <w:p>
      <w:pPr>
        <w:keepNext w:val="0"/>
        <w:keepLines w:val="0"/>
        <w:pageBreakBefore w:val="0"/>
        <w:kinsoku/>
        <w:overflowPunct/>
        <w:topLinePunct w:val="0"/>
        <w:autoSpaceDE/>
        <w:autoSpaceDN/>
        <w:bidi w:val="0"/>
        <w:adjustRightInd/>
        <w:snapToGrid/>
        <w:spacing w:line="360" w:lineRule="auto"/>
        <w:textAlignment w:val="center"/>
        <w:rPr>
          <w:rFonts w:hint="eastAsia" w:ascii="仿宋" w:hAnsi="仿宋" w:eastAsia="仿宋" w:cs="仿宋"/>
          <w:position w:val="6"/>
          <w:sz w:val="24"/>
          <w:szCs w:val="24"/>
        </w:rPr>
      </w:pPr>
      <w:r>
        <w:rPr>
          <w:rFonts w:hint="eastAsia" w:ascii="仿宋" w:hAnsi="仿宋" w:eastAsia="仿宋" w:cs="仿宋"/>
          <w:position w:val="6"/>
          <w:sz w:val="24"/>
          <w:szCs w:val="24"/>
        </w:rPr>
        <w:t>其中，</w:t>
      </w:r>
      <w:r>
        <w:rPr>
          <w:rFonts w:hint="eastAsia" w:ascii="仿宋" w:hAnsi="仿宋" w:eastAsia="仿宋" w:cs="仿宋"/>
          <w:position w:val="6"/>
          <w:sz w:val="24"/>
          <w:szCs w:val="24"/>
        </w:rPr>
        <w:object>
          <v:shape id="_x0000_i1040" o:spt="75" type="#_x0000_t75" style="height:18pt;width:39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仿宋" w:hAnsi="仿宋" w:eastAsia="仿宋" w:cs="仿宋"/>
          <w:position w:val="6"/>
          <w:sz w:val="24"/>
          <w:szCs w:val="24"/>
        </w:rPr>
        <w:t>为高技能劳动力的报酬，</w:t>
      </w:r>
      <w:r>
        <w:rPr>
          <w:rFonts w:hint="eastAsia" w:ascii="仿宋" w:hAnsi="仿宋" w:eastAsia="仿宋" w:cs="仿宋"/>
          <w:position w:val="6"/>
          <w:sz w:val="24"/>
          <w:szCs w:val="24"/>
        </w:rPr>
        <w:object>
          <v:shape id="_x0000_i1041" o:spt="75" type="#_x0000_t75" style="height:18pt;width:37.0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仿宋" w:hAnsi="仿宋" w:eastAsia="仿宋" w:cs="仿宋"/>
          <w:position w:val="6"/>
          <w:sz w:val="24"/>
          <w:szCs w:val="24"/>
        </w:rPr>
        <w:t>为低技能劳动力的报酬</w:t>
      </w:r>
      <w:r>
        <w:rPr>
          <w:rStyle w:val="7"/>
          <w:rFonts w:hint="eastAsia" w:ascii="仿宋" w:hAnsi="仿宋" w:eastAsia="仿宋" w:cs="仿宋"/>
          <w:position w:val="6"/>
          <w:sz w:val="24"/>
          <w:szCs w:val="24"/>
        </w:rPr>
        <w:footnoteReference w:id="1"/>
      </w:r>
      <w:r>
        <w:rPr>
          <w:rFonts w:hint="eastAsia" w:ascii="仿宋" w:hAnsi="仿宋" w:eastAsia="仿宋" w:cs="仿宋"/>
          <w:position w:val="6"/>
          <w:sz w:val="24"/>
          <w:szCs w:val="24"/>
          <w:lang w:eastAsia="zh-CN"/>
        </w:rPr>
        <w:t>，</w:t>
      </w:r>
      <w:r>
        <w:rPr>
          <w:rFonts w:hint="eastAsia" w:ascii="仿宋" w:hAnsi="仿宋" w:eastAsia="仿宋" w:cs="仿宋"/>
          <w:position w:val="6"/>
          <w:sz w:val="24"/>
          <w:szCs w:val="24"/>
        </w:rPr>
        <w:object>
          <v:shape id="_x0000_i1042" o:spt="75" type="#_x0000_t75" style="height:16.05pt;width:28.0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ascii="仿宋" w:hAnsi="仿宋" w:eastAsia="仿宋" w:cs="仿宋"/>
          <w:position w:val="6"/>
          <w:sz w:val="24"/>
          <w:szCs w:val="24"/>
        </w:rPr>
        <w:t>为地区-产业增加值；在式（</w:t>
      </w:r>
      <w:r>
        <w:rPr>
          <w:rFonts w:hint="eastAsia" w:ascii="仿宋" w:hAnsi="仿宋" w:eastAsia="仿宋" w:cs="仿宋"/>
          <w:position w:val="6"/>
          <w:sz w:val="24"/>
          <w:szCs w:val="24"/>
          <w:lang w:val="en-US" w:eastAsia="zh-CN"/>
        </w:rPr>
        <w:t>B1</w:t>
      </w:r>
      <w:r>
        <w:rPr>
          <w:rFonts w:hint="eastAsia" w:ascii="仿宋" w:hAnsi="仿宋" w:eastAsia="仿宋" w:cs="仿宋"/>
          <w:position w:val="6"/>
          <w:sz w:val="24"/>
          <w:szCs w:val="24"/>
        </w:rPr>
        <w:t>）中，第(ⅰ)项表示低技能劳动力收入份额，第(ⅱ)项表示高技能与低技能劳动收入比。根据（</w:t>
      </w:r>
      <w:r>
        <w:rPr>
          <w:rFonts w:hint="eastAsia" w:ascii="仿宋" w:hAnsi="仿宋" w:eastAsia="仿宋" w:cs="仿宋"/>
          <w:position w:val="6"/>
          <w:sz w:val="24"/>
          <w:szCs w:val="24"/>
          <w:lang w:val="en-US" w:eastAsia="zh-CN"/>
        </w:rPr>
        <w:t>B1</w:t>
      </w:r>
      <w:r>
        <w:rPr>
          <w:rFonts w:hint="eastAsia" w:ascii="仿宋" w:hAnsi="仿宋" w:eastAsia="仿宋" w:cs="仿宋"/>
          <w:position w:val="6"/>
          <w:sz w:val="24"/>
          <w:szCs w:val="24"/>
        </w:rPr>
        <w:t>）式，我们将地区-产业劳动收入份额分解为低技能劳动力收入份额（</w:t>
      </w:r>
      <w:r>
        <w:rPr>
          <w:rFonts w:hint="eastAsia" w:ascii="仿宋" w:hAnsi="仿宋" w:eastAsia="仿宋" w:cs="仿宋"/>
          <w:i/>
          <w:kern w:val="0"/>
          <w:position w:val="6"/>
          <w:sz w:val="24"/>
          <w:szCs w:val="24"/>
        </w:rPr>
        <w:t>LS_L</w:t>
      </w:r>
      <w:r>
        <w:rPr>
          <w:rFonts w:hint="eastAsia" w:ascii="仿宋" w:hAnsi="仿宋" w:eastAsia="仿宋" w:cs="仿宋"/>
          <w:position w:val="6"/>
          <w:sz w:val="24"/>
          <w:szCs w:val="24"/>
        </w:rPr>
        <w:t>）和高低技能劳动收入比（</w:t>
      </w:r>
      <w:r>
        <w:rPr>
          <w:rFonts w:hint="eastAsia" w:ascii="仿宋" w:hAnsi="仿宋" w:eastAsia="仿宋" w:cs="仿宋"/>
          <w:i/>
          <w:kern w:val="0"/>
          <w:position w:val="6"/>
          <w:sz w:val="24"/>
          <w:szCs w:val="24"/>
        </w:rPr>
        <w:t>LI_HtL</w:t>
      </w:r>
      <w:r>
        <w:rPr>
          <w:rFonts w:hint="eastAsia" w:ascii="仿宋" w:hAnsi="仿宋" w:eastAsia="仿宋" w:cs="仿宋"/>
          <w:position w:val="6"/>
          <w:sz w:val="24"/>
          <w:szCs w:val="24"/>
        </w:rPr>
        <w:t>）两个部分。</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360" w:lineRule="auto"/>
        <w:ind w:left="-1" w:leftChars="-1" w:hanging="1"/>
        <w:rPr>
          <w:rFonts w:hint="eastAsia" w:ascii="宋体" w:hAnsi="宋体" w:eastAsia="宋体" w:cs="宋体"/>
          <w:b/>
          <w:bCs/>
          <w:color w:val="auto"/>
          <w:kern w:val="0"/>
          <w:sz w:val="21"/>
          <w:szCs w:val="21"/>
        </w:rPr>
      </w:pPr>
      <w:r>
        <w:rPr>
          <w:rFonts w:hint="eastAsia" w:ascii="宋体" w:hAnsi="宋体" w:eastAsia="宋体" w:cs="宋体"/>
          <w:b/>
          <w:color w:val="auto"/>
          <w:sz w:val="21"/>
          <w:szCs w:val="21"/>
        </w:rPr>
        <w:t>注：该附录是期刊所发表论文的组成部分，同样视为作者公开发表的内容。如研究中使用该附录中的内容，</w:t>
      </w:r>
      <w:r>
        <w:rPr>
          <w:rFonts w:hint="eastAsia" w:ascii="宋体" w:hAnsi="宋体" w:eastAsia="宋体" w:cs="宋体"/>
          <w:b/>
          <w:bCs/>
          <w:color w:val="auto"/>
          <w:kern w:val="0"/>
          <w:sz w:val="21"/>
          <w:szCs w:val="21"/>
        </w:rPr>
        <w:t>请务必在研究成果上注明</w:t>
      </w:r>
      <w:r>
        <w:rPr>
          <w:rFonts w:hint="eastAsia" w:ascii="宋体" w:hAnsi="宋体" w:eastAsia="宋体" w:cs="宋体"/>
          <w:b/>
          <w:bCs/>
          <w:color w:val="auto"/>
          <w:kern w:val="0"/>
          <w:sz w:val="21"/>
          <w:szCs w:val="21"/>
          <w:lang w:val="en-US" w:eastAsia="zh-CN"/>
        </w:rPr>
        <w:t>附录</w:t>
      </w:r>
      <w:r>
        <w:rPr>
          <w:rFonts w:hint="eastAsia" w:ascii="宋体" w:hAnsi="宋体" w:eastAsia="宋体" w:cs="宋体"/>
          <w:b/>
          <w:bCs/>
          <w:color w:val="auto"/>
          <w:kern w:val="0"/>
          <w:sz w:val="21"/>
          <w:szCs w:val="21"/>
        </w:rPr>
        <w:t>下载出处</w:t>
      </w:r>
      <w:r>
        <w:rPr>
          <w:rFonts w:hint="eastAsia" w:ascii="宋体" w:hAnsi="宋体" w:eastAsia="宋体" w:cs="宋体"/>
          <w:color w:val="auto"/>
          <w:kern w:val="0"/>
          <w:sz w:val="21"/>
          <w:szCs w:val="21"/>
        </w:rPr>
        <w:t>。</w:t>
      </w: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p>
      <w:pPr>
        <w:keepNext w:val="0"/>
        <w:keepLines w:val="0"/>
        <w:pageBreakBefore w:val="0"/>
        <w:kinsoku/>
        <w:overflowPunct/>
        <w:topLinePunct w:val="0"/>
        <w:autoSpaceDE/>
        <w:autoSpaceDN/>
        <w:bidi w:val="0"/>
        <w:adjustRightInd/>
        <w:snapToGrid/>
        <w:spacing w:line="360" w:lineRule="auto"/>
        <w:rPr>
          <w:rFonts w:hint="eastAsia" w:ascii="仿宋" w:hAnsi="仿宋" w:eastAsia="仿宋" w:cs="仿宋"/>
          <w:sz w:val="24"/>
          <w:szCs w:val="24"/>
        </w:rPr>
      </w:pPr>
    </w:p>
    <w:sectPr>
      <w:headerReference r:id="rId4" w:type="default"/>
      <w:footerReference r:id="rId5" w:type="default"/>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ymbol Tiger Expert">
    <w:altName w:val="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56314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rPr>
          <w:rFonts w:hint="eastAsia"/>
        </w:rPr>
      </w:pPr>
      <w:r>
        <w:rPr>
          <w:rStyle w:val="7"/>
        </w:rPr>
        <w:footnoteRef/>
      </w:r>
      <w:r>
        <w:t xml:space="preserve"> </w:t>
      </w:r>
      <w:r>
        <w:rPr>
          <w:rFonts w:hint="eastAsia"/>
        </w:rPr>
        <w:t>为了保证回归结果的可靠性，我们在回归中</w:t>
      </w:r>
      <w:r>
        <w:rPr>
          <w:rFonts w:hint="eastAsia" w:ascii="Times New Roman" w:hAnsi="Times New Roman"/>
        </w:rPr>
        <w:t>剔除了企业数少于</w:t>
      </w:r>
      <w:r>
        <w:rPr>
          <w:rFonts w:ascii="Times New Roman" w:hAnsi="Times New Roman"/>
        </w:rPr>
        <w:t>50家的地区-行业样本</w:t>
      </w:r>
      <w:r>
        <w:rPr>
          <w:rFonts w:hint="eastAsia" w:ascii="Times New Roman" w:hAnsi="Times New Roman"/>
        </w:rPr>
        <w:t>。</w:t>
      </w:r>
    </w:p>
  </w:footnote>
  <w:footnote w:id="1">
    <w:p>
      <w:pPr>
        <w:pStyle w:val="4"/>
        <w:rPr>
          <w:rFonts w:hint="eastAsia" w:ascii="Times New Roman" w:hAnsi="Times New Roman"/>
        </w:rPr>
      </w:pPr>
      <w:r>
        <w:rPr>
          <w:rStyle w:val="7"/>
        </w:rPr>
        <w:footnoteRef/>
      </w:r>
      <w:r>
        <w:t xml:space="preserve"> </w:t>
      </w:r>
      <w:r>
        <w:rPr>
          <w:rFonts w:hint="eastAsia"/>
        </w:rPr>
        <w:t>需要说明的是，这里主要</w:t>
      </w:r>
      <w:r>
        <w:rPr>
          <w:rFonts w:hint="eastAsia" w:ascii="Times New Roman" w:hAnsi="Times New Roman"/>
        </w:rPr>
        <w:t>从技术职称的角度来区分不同技能劳动力，即将具有中级以上技术职称的员工</w:t>
      </w:r>
      <w:r>
        <w:rPr>
          <w:rFonts w:hint="eastAsia" w:ascii="Times New Roman" w:hAnsi="Times New Roman"/>
          <w:szCs w:val="21"/>
        </w:rPr>
        <w:t>定义为高技能劳动力，将其余的定义为低技能劳动力。此外，我们也尝试从学历水平的角度来</w:t>
      </w:r>
      <w:r>
        <w:rPr>
          <w:rFonts w:hint="eastAsia" w:ascii="Times New Roman" w:hAnsi="Times New Roman"/>
        </w:rPr>
        <w:t>区分不同技能劳动力，发现核心结论成立。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hint="eastAsia" w:ascii="宋体" w:hAnsi="宋体" w:eastAsia="宋体" w:cs="宋体"/>
        <w:lang w:val="en-US" w:eastAsia="zh-CN"/>
      </w:rPr>
    </w:pPr>
    <w:r>
      <w:rPr>
        <w:rFonts w:hint="eastAsia" w:ascii="宋体" w:hAnsi="宋体" w:eastAsia="宋体" w:cs="宋体"/>
        <w:lang w:val="en-US" w:eastAsia="zh-CN"/>
      </w:rPr>
      <w:t>《经济学》（季刊）               互联网如何影响了中国制造业就业？               第23卷第4期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TY5MzAxODJhZDAxMGMwZGQwZTA0ZDg0NjA2ZDkifQ=="/>
  </w:docVars>
  <w:rsids>
    <w:rsidRoot w:val="00E8151B"/>
    <w:rsid w:val="000C1CF2"/>
    <w:rsid w:val="002B09F7"/>
    <w:rsid w:val="00304C47"/>
    <w:rsid w:val="005447D5"/>
    <w:rsid w:val="00B6799B"/>
    <w:rsid w:val="00CE4741"/>
    <w:rsid w:val="00DF30B7"/>
    <w:rsid w:val="00E05F4E"/>
    <w:rsid w:val="00E300F5"/>
    <w:rsid w:val="00E8151B"/>
    <w:rsid w:val="00ED319F"/>
    <w:rsid w:val="00F715FA"/>
    <w:rsid w:val="03354F29"/>
    <w:rsid w:val="05636115"/>
    <w:rsid w:val="06764670"/>
    <w:rsid w:val="06B56F46"/>
    <w:rsid w:val="07471572"/>
    <w:rsid w:val="0ECE5049"/>
    <w:rsid w:val="132D05AD"/>
    <w:rsid w:val="193463F1"/>
    <w:rsid w:val="1EC51650"/>
    <w:rsid w:val="2836388A"/>
    <w:rsid w:val="293059D0"/>
    <w:rsid w:val="2A4A0103"/>
    <w:rsid w:val="2C583D4C"/>
    <w:rsid w:val="311C359A"/>
    <w:rsid w:val="3A6D130B"/>
    <w:rsid w:val="3B0F23C2"/>
    <w:rsid w:val="4E4A7541"/>
    <w:rsid w:val="4FB31116"/>
    <w:rsid w:val="552B60F6"/>
    <w:rsid w:val="576A2A02"/>
    <w:rsid w:val="5CCC1A69"/>
    <w:rsid w:val="656942F9"/>
    <w:rsid w:val="682D3D04"/>
    <w:rsid w:val="698A44D6"/>
    <w:rsid w:val="71663DE2"/>
    <w:rsid w:val="75784F8B"/>
    <w:rsid w:val="76384EF0"/>
    <w:rsid w:val="7E0E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footnote text"/>
    <w:basedOn w:val="1"/>
    <w:link w:val="11"/>
    <w:unhideWhenUsed/>
    <w:qFormat/>
    <w:uiPriority w:val="99"/>
    <w:pPr>
      <w:snapToGrid w:val="0"/>
      <w:jc w:val="left"/>
    </w:pPr>
    <w:rPr>
      <w:rFonts w:ascii="Calibri" w:hAnsi="Calibri" w:eastAsia="宋体" w:cs="Times New Roman"/>
      <w:sz w:val="18"/>
      <w:szCs w:val="18"/>
    </w:rPr>
  </w:style>
  <w:style w:type="character" w:styleId="7">
    <w:name w:val="footnote reference"/>
    <w:unhideWhenUsed/>
    <w:qFormat/>
    <w:uiPriority w:val="99"/>
    <w:rPr>
      <w:vertAlign w:val="superscript"/>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脚注文本 字符"/>
    <w:basedOn w:val="6"/>
    <w:semiHidden/>
    <w:qFormat/>
    <w:uiPriority w:val="99"/>
    <w:rPr>
      <w:sz w:val="18"/>
      <w:szCs w:val="18"/>
    </w:rPr>
  </w:style>
  <w:style w:type="character" w:customStyle="1" w:styleId="11">
    <w:name w:val="脚注文本 字符1"/>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header" Target="header1.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680</Words>
  <Characters>3877</Characters>
  <Lines>32</Lines>
  <Paragraphs>9</Paragraphs>
  <TotalTime>2</TotalTime>
  <ScaleCrop>false</ScaleCrop>
  <LinksUpToDate>false</LinksUpToDate>
  <CharactersWithSpaces>4548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2023-07-14T13:34:00Z</dcterms:created>
  <dc:creator>NKU</dc:creator>
  <cp:lastModifiedBy>刘京</cp:lastModifiedBy>
  <dcterms:modified xsi:type="dcterms:W3CDTF">2023-07-31T03:35:20Z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FD5B5DDFA79D4BD1933606554A3A5B6A_12</vt:lpwstr>
  </property>
</Properties>
</file>