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22586C" w14:textId="404DA12A" w:rsidR="00F51902" w:rsidRPr="00AF579F" w:rsidRDefault="00AF579F" w:rsidP="00AF579F">
      <w:pPr>
        <w:widowControl w:val="0"/>
        <w:spacing w:line="240" w:lineRule="auto"/>
        <w:ind w:left="-424" w:right="-1741"/>
        <w:jc w:val="center"/>
        <w:rPr>
          <w:rFonts w:ascii="宋体" w:eastAsia="宋体" w:hAnsi="宋体" w:cs="宋体"/>
          <w:b/>
          <w:sz w:val="36"/>
          <w:szCs w:val="24"/>
          <w:lang w:eastAsia="zh-CN"/>
        </w:rPr>
      </w:pPr>
      <w:r w:rsidRPr="00AF579F">
        <w:rPr>
          <w:rFonts w:ascii="Gungsuh" w:eastAsia="Gungsuh" w:hAnsi="Gungsuh" w:cs="Gungsuh"/>
          <w:b/>
          <w:sz w:val="36"/>
          <w:szCs w:val="24"/>
        </w:rPr>
        <w:t>市场微结构模型专题</w:t>
      </w:r>
      <w:r>
        <w:rPr>
          <w:rFonts w:ascii="宋体" w:eastAsia="宋体" w:hAnsi="宋体" w:cs="宋体" w:hint="eastAsia"/>
          <w:b/>
          <w:sz w:val="36"/>
          <w:szCs w:val="24"/>
          <w:lang w:eastAsia="zh-CN"/>
        </w:rPr>
        <w:t>课程</w:t>
      </w:r>
      <w:r>
        <w:rPr>
          <w:rFonts w:ascii="宋体" w:eastAsia="宋体" w:hAnsi="宋体" w:cs="宋体"/>
          <w:b/>
          <w:sz w:val="36"/>
          <w:szCs w:val="24"/>
          <w:lang w:eastAsia="zh-CN"/>
        </w:rPr>
        <w:t>介绍</w:t>
      </w:r>
    </w:p>
    <w:p w14:paraId="100B951C" w14:textId="77777777" w:rsidR="00AF579F" w:rsidRPr="00AF579F" w:rsidRDefault="00AF579F">
      <w:pPr>
        <w:widowControl w:val="0"/>
        <w:spacing w:line="240" w:lineRule="auto"/>
        <w:ind w:left="-424" w:right="-1741"/>
        <w:jc w:val="both"/>
        <w:rPr>
          <w:rFonts w:ascii="宋体" w:hAnsi="宋体" w:cs="宋体"/>
          <w:sz w:val="24"/>
          <w:szCs w:val="24"/>
        </w:rPr>
      </w:pPr>
    </w:p>
    <w:tbl>
      <w:tblPr>
        <w:tblStyle w:val="a5"/>
        <w:tblW w:w="9330" w:type="dxa"/>
        <w:tblInd w:w="-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1275"/>
        <w:gridCol w:w="1701"/>
        <w:gridCol w:w="1418"/>
        <w:gridCol w:w="1822"/>
      </w:tblGrid>
      <w:tr w:rsidR="00F51902" w14:paraId="632AF3D4" w14:textId="77777777">
        <w:trPr>
          <w:trHeight w:val="440"/>
        </w:trPr>
        <w:tc>
          <w:tcPr>
            <w:tcW w:w="169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A921CD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课程中文名称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2760F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市场微结构模型专题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F80D52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课程学分</w:t>
            </w:r>
          </w:p>
        </w:tc>
        <w:tc>
          <w:tcPr>
            <w:tcW w:w="18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23BD88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</w:tr>
      <w:tr w:rsidR="00F51902" w14:paraId="240D3C0A" w14:textId="77777777">
        <w:trPr>
          <w:trHeight w:val="440"/>
        </w:trPr>
        <w:tc>
          <w:tcPr>
            <w:tcW w:w="169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D8FBAA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课程英文名称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B4E98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Topics in Market Microstructure Models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431303" w14:textId="603E98A3" w:rsidR="00F51902" w:rsidRDefault="006349CC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课程</w:t>
            </w:r>
            <w:r w:rsidR="00B60737">
              <w:rPr>
                <w:rFonts w:ascii="宋体" w:eastAsia="宋体" w:hAnsi="宋体" w:cs="宋体"/>
                <w:b/>
                <w:sz w:val="24"/>
                <w:szCs w:val="24"/>
              </w:rPr>
              <w:t>学时</w:t>
            </w:r>
          </w:p>
        </w:tc>
        <w:tc>
          <w:tcPr>
            <w:tcW w:w="182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3D12F6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32学时</w:t>
            </w:r>
          </w:p>
        </w:tc>
      </w:tr>
      <w:tr w:rsidR="00F51902" w14:paraId="3C7E4BA5" w14:textId="77777777">
        <w:trPr>
          <w:trHeight w:val="440"/>
        </w:trPr>
        <w:tc>
          <w:tcPr>
            <w:tcW w:w="3114" w:type="dxa"/>
            <w:gridSpan w:val="3"/>
            <w:tcBorders>
              <w:top w:val="single" w:sz="6" w:space="0" w:color="000000"/>
            </w:tcBorders>
            <w:vAlign w:val="center"/>
          </w:tcPr>
          <w:p w14:paraId="2AC508DA" w14:textId="33947ED0" w:rsidR="00F51902" w:rsidRDefault="00B60737" w:rsidP="006349CC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授课对象</w:t>
            </w:r>
          </w:p>
        </w:tc>
        <w:tc>
          <w:tcPr>
            <w:tcW w:w="6216" w:type="dxa"/>
            <w:gridSpan w:val="4"/>
            <w:tcBorders>
              <w:top w:val="single" w:sz="6" w:space="0" w:color="000000"/>
            </w:tcBorders>
            <w:vAlign w:val="center"/>
          </w:tcPr>
          <w:p w14:paraId="63F15608" w14:textId="5C729A40" w:rsidR="00F51902" w:rsidRDefault="00B60737" w:rsidP="006349CC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A、校内计划课程（限本校学生）</w:t>
            </w:r>
          </w:p>
        </w:tc>
      </w:tr>
      <w:tr w:rsidR="00F51902" w14:paraId="660AABC3" w14:textId="77777777">
        <w:trPr>
          <w:trHeight w:val="440"/>
        </w:trPr>
        <w:tc>
          <w:tcPr>
            <w:tcW w:w="1129" w:type="dxa"/>
            <w:tcBorders>
              <w:top w:val="single" w:sz="6" w:space="0" w:color="000000"/>
            </w:tcBorders>
            <w:vAlign w:val="center"/>
          </w:tcPr>
          <w:p w14:paraId="5428D181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授课时间</w:t>
            </w:r>
          </w:p>
        </w:tc>
        <w:tc>
          <w:tcPr>
            <w:tcW w:w="8201" w:type="dxa"/>
            <w:gridSpan w:val="6"/>
            <w:tcBorders>
              <w:top w:val="single" w:sz="6" w:space="0" w:color="000000"/>
            </w:tcBorders>
            <w:vAlign w:val="center"/>
          </w:tcPr>
          <w:p w14:paraId="3CFA3687" w14:textId="389ACE63" w:rsidR="00F51902" w:rsidRPr="00977606" w:rsidRDefault="00977606">
            <w:pPr>
              <w:spacing w:before="40" w:after="40" w:line="240" w:lineRule="auto"/>
              <w:jc w:val="both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977606">
              <w:rPr>
                <w:rFonts w:ascii="宋体" w:eastAsia="宋体" w:hAnsi="宋体" w:cs="宋体"/>
                <w:sz w:val="24"/>
                <w:szCs w:val="24"/>
              </w:rPr>
              <w:t>7</w:t>
            </w:r>
            <w:r w:rsidRPr="00977606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977606">
              <w:rPr>
                <w:rFonts w:ascii="宋体" w:eastAsia="宋体" w:hAnsi="宋体" w:cs="宋体"/>
                <w:sz w:val="24"/>
                <w:szCs w:val="24"/>
              </w:rPr>
              <w:t>11</w:t>
            </w:r>
            <w:r w:rsidRPr="00977606">
              <w:rPr>
                <w:rFonts w:ascii="宋体" w:eastAsia="宋体" w:hAnsi="宋体" w:cs="宋体" w:hint="eastAsia"/>
                <w:sz w:val="24"/>
                <w:szCs w:val="24"/>
              </w:rPr>
              <w:t>日至</w:t>
            </w:r>
            <w:r w:rsidRPr="00977606">
              <w:rPr>
                <w:rFonts w:ascii="宋体" w:eastAsia="宋体" w:hAnsi="宋体" w:cs="宋体"/>
                <w:sz w:val="24"/>
                <w:szCs w:val="24"/>
              </w:rPr>
              <w:t>7</w:t>
            </w:r>
            <w:r w:rsidRPr="00977606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977606">
              <w:rPr>
                <w:rFonts w:ascii="宋体" w:eastAsia="宋体" w:hAnsi="宋体" w:cs="宋体"/>
                <w:sz w:val="24"/>
                <w:szCs w:val="24"/>
              </w:rPr>
              <w:t>27</w:t>
            </w:r>
            <w:r w:rsidRPr="00977606">
              <w:rPr>
                <w:rFonts w:ascii="宋体" w:eastAsia="宋体" w:hAnsi="宋体" w:cs="宋体" w:hint="eastAsia"/>
                <w:sz w:val="24"/>
                <w:szCs w:val="24"/>
              </w:rPr>
              <w:t>日，每周一、周三、周五的</w:t>
            </w:r>
            <w:r w:rsidRPr="00977606">
              <w:rPr>
                <w:rFonts w:ascii="宋体" w:eastAsia="宋体" w:hAnsi="宋体" w:cs="宋体"/>
                <w:sz w:val="24"/>
                <w:szCs w:val="24"/>
              </w:rPr>
              <w:t>5-8</w:t>
            </w:r>
            <w:r w:rsidRPr="00977606">
              <w:rPr>
                <w:rFonts w:ascii="宋体" w:eastAsia="宋体" w:hAnsi="宋体" w:cs="宋体" w:hint="eastAsia"/>
                <w:sz w:val="24"/>
                <w:szCs w:val="24"/>
              </w:rPr>
              <w:t>节（</w:t>
            </w:r>
            <w:r w:rsidRPr="00977606">
              <w:rPr>
                <w:rFonts w:ascii="宋体" w:eastAsia="宋体" w:hAnsi="宋体" w:cs="宋体"/>
                <w:sz w:val="24"/>
                <w:szCs w:val="24"/>
              </w:rPr>
              <w:t>13:00-17:00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F51902" w14:paraId="4A4AB41E" w14:textId="77777777">
        <w:trPr>
          <w:trHeight w:val="440"/>
        </w:trPr>
        <w:tc>
          <w:tcPr>
            <w:tcW w:w="1129" w:type="dxa"/>
            <w:vAlign w:val="center"/>
          </w:tcPr>
          <w:p w14:paraId="426C460F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先修课程</w:t>
            </w:r>
          </w:p>
        </w:tc>
        <w:tc>
          <w:tcPr>
            <w:tcW w:w="4961" w:type="dxa"/>
            <w:gridSpan w:val="4"/>
            <w:vAlign w:val="center"/>
          </w:tcPr>
          <w:p w14:paraId="4EC88EB5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微积分，线性代数，概率论，随机过程</w:t>
            </w:r>
          </w:p>
        </w:tc>
        <w:tc>
          <w:tcPr>
            <w:tcW w:w="1418" w:type="dxa"/>
            <w:vAlign w:val="center"/>
          </w:tcPr>
          <w:p w14:paraId="7F1786BF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授课语言</w:t>
            </w:r>
          </w:p>
        </w:tc>
        <w:tc>
          <w:tcPr>
            <w:tcW w:w="1822" w:type="dxa"/>
            <w:vAlign w:val="center"/>
          </w:tcPr>
          <w:p w14:paraId="44995B27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英语</w:t>
            </w:r>
          </w:p>
        </w:tc>
      </w:tr>
      <w:tr w:rsidR="00F51902" w14:paraId="16F527F4" w14:textId="77777777">
        <w:trPr>
          <w:trHeight w:val="440"/>
        </w:trPr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ECD1A5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教师姓名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36C40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王太和(Tai-Ho Wang)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CADC4" w14:textId="7645A9D5" w:rsidR="00F51902" w:rsidRDefault="00F51902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32FBDD" w14:textId="0524F7DE" w:rsidR="00F51902" w:rsidRDefault="00F51902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51902" w14:paraId="22241978" w14:textId="77777777" w:rsidTr="006349CC">
        <w:trPr>
          <w:trHeight w:val="1917"/>
        </w:trPr>
        <w:tc>
          <w:tcPr>
            <w:tcW w:w="9330" w:type="dxa"/>
            <w:gridSpan w:val="7"/>
          </w:tcPr>
          <w:p w14:paraId="3D593F53" w14:textId="029186B6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中文课程简介</w:t>
            </w:r>
          </w:p>
          <w:p w14:paraId="23DF3888" w14:textId="77777777" w:rsidR="00F51902" w:rsidRDefault="00F51902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14:paraId="45888A07" w14:textId="635BD37D" w:rsidR="00F51902" w:rsidRPr="0050317A" w:rsidRDefault="00B60737">
            <w:pPr>
              <w:spacing w:before="40" w:after="40" w:line="240" w:lineRule="auto"/>
              <w:jc w:val="both"/>
              <w:rPr>
                <w:rFonts w:ascii="Gungsuh" w:eastAsia="Gungsuh" w:hAnsi="Gungsuh" w:cs="Gungsuh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/>
                <w:sz w:val="24"/>
                <w:szCs w:val="24"/>
              </w:rPr>
              <w:t>课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程旨在介</w:t>
            </w:r>
            <w:r>
              <w:rPr>
                <w:rFonts w:ascii="宋体" w:eastAsia="宋体" w:hAnsi="宋体" w:cs="宋体"/>
                <w:sz w:val="24"/>
                <w:szCs w:val="24"/>
              </w:rPr>
              <w:t>绍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及探</w:t>
            </w:r>
            <w:r>
              <w:rPr>
                <w:rFonts w:ascii="宋体" w:eastAsia="宋体" w:hAnsi="宋体" w:cs="宋体"/>
                <w:sz w:val="24"/>
                <w:szCs w:val="24"/>
              </w:rPr>
              <w:t>讨与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市</w:t>
            </w:r>
            <w:r>
              <w:rPr>
                <w:rFonts w:ascii="宋体" w:eastAsia="宋体" w:hAnsi="宋体" w:cs="宋体"/>
                <w:sz w:val="24"/>
                <w:szCs w:val="24"/>
              </w:rPr>
              <w:t>场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微</w:t>
            </w:r>
            <w:r>
              <w:rPr>
                <w:rFonts w:ascii="宋体" w:eastAsia="宋体" w:hAnsi="宋体" w:cs="宋体"/>
                <w:sz w:val="24"/>
                <w:szCs w:val="24"/>
              </w:rPr>
              <w:t>结构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相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关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的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数学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经济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及物理模型。基于</w:t>
            </w:r>
            <w:r>
              <w:rPr>
                <w:rFonts w:ascii="宋体" w:eastAsia="宋体" w:hAnsi="宋体" w:cs="宋体"/>
                <w:sz w:val="24"/>
                <w:szCs w:val="24"/>
              </w:rPr>
              <w:t>应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用所</w:t>
            </w:r>
            <w:r>
              <w:rPr>
                <w:rFonts w:ascii="宋体" w:eastAsia="宋体" w:hAnsi="宋体" w:cs="宋体"/>
                <w:sz w:val="24"/>
                <w:szCs w:val="24"/>
              </w:rPr>
              <w:t>须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，本</w:t>
            </w:r>
            <w:r>
              <w:rPr>
                <w:rFonts w:ascii="宋体" w:eastAsia="宋体" w:hAnsi="宋体" w:cs="宋体"/>
                <w:sz w:val="24"/>
                <w:szCs w:val="24"/>
              </w:rPr>
              <w:t>课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程前一小段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着重于</w:t>
            </w:r>
            <w:r w:rsidR="0050317A" w:rsidRPr="0050317A">
              <w:rPr>
                <w:rFonts w:ascii="宋体" w:eastAsia="宋体" w:hAnsi="宋体" w:cs="宋体"/>
                <w:sz w:val="24"/>
                <w:szCs w:val="24"/>
              </w:rPr>
              <w:t>时间</w:t>
            </w:r>
            <w:r w:rsidR="0050317A" w:rsidRPr="0050317A">
              <w:rPr>
                <w:rFonts w:ascii="Gungsuh" w:eastAsia="Gungsuh" w:hAnsi="Gungsuh" w:cs="Gungsuh" w:hint="eastAsia"/>
                <w:sz w:val="24"/>
                <w:szCs w:val="24"/>
              </w:rPr>
              <w:t>序列分析</w:t>
            </w:r>
            <w:r w:rsidR="0050317A" w:rsidRPr="0050317A">
              <w:rPr>
                <w:rFonts w:ascii="MS Mincho" w:eastAsia="MS Mincho" w:hAnsi="MS Mincho" w:cs="MS Mincho"/>
                <w:sz w:val="24"/>
                <w:szCs w:val="24"/>
              </w:rPr>
              <w:t>与</w:t>
            </w:r>
            <w:r w:rsidR="0050317A" w:rsidRPr="0050317A">
              <w:rPr>
                <w:rFonts w:ascii="宋体" w:eastAsia="宋体" w:hAnsi="宋体" w:cs="宋体"/>
                <w:sz w:val="24"/>
                <w:szCs w:val="24"/>
              </w:rPr>
              <w:t>统计</w:t>
            </w:r>
            <w:r w:rsidR="0050317A" w:rsidRPr="0050317A">
              <w:rPr>
                <w:rFonts w:ascii="MS Mincho" w:eastAsia="MS Mincho" w:hAnsi="MS Mincho" w:cs="MS Mincho"/>
                <w:sz w:val="24"/>
                <w:szCs w:val="24"/>
              </w:rPr>
              <w:t>学</w:t>
            </w:r>
            <w:r w:rsidR="0050317A" w:rsidRPr="0050317A">
              <w:rPr>
                <w:rFonts w:ascii="宋体" w:eastAsia="宋体" w:hAnsi="宋体" w:cs="宋体"/>
                <w:sz w:val="24"/>
                <w:szCs w:val="24"/>
              </w:rPr>
              <w:t>习</w:t>
            </w:r>
            <w:r w:rsidR="0050317A" w:rsidRPr="0050317A">
              <w:rPr>
                <w:rFonts w:ascii="Gungsuh" w:eastAsia="Gungsuh" w:hAnsi="Gungsuh" w:cs="Gungsuh" w:hint="eastAsia"/>
                <w:sz w:val="24"/>
                <w:szCs w:val="24"/>
              </w:rPr>
              <w:t>相</w:t>
            </w:r>
            <w:r w:rsidR="0050317A" w:rsidRPr="0050317A">
              <w:rPr>
                <w:rFonts w:ascii="MS Mincho" w:eastAsia="MS Mincho" w:hAnsi="MS Mincho" w:cs="MS Mincho"/>
                <w:sz w:val="24"/>
                <w:szCs w:val="24"/>
              </w:rPr>
              <w:t>关</w:t>
            </w:r>
            <w:r w:rsidR="0050317A" w:rsidRPr="0050317A">
              <w:rPr>
                <w:rFonts w:ascii="Gungsuh" w:eastAsia="Gungsuh" w:hAnsi="Gungsuh" w:cs="Gungsuh" w:hint="eastAsia"/>
                <w:sz w:val="24"/>
                <w:szCs w:val="24"/>
              </w:rPr>
              <w:t>知</w:t>
            </w:r>
            <w:r w:rsidR="0050317A" w:rsidRPr="0050317A">
              <w:rPr>
                <w:rFonts w:ascii="宋体" w:eastAsia="宋体" w:hAnsi="宋体" w:cs="宋体"/>
                <w:sz w:val="24"/>
                <w:szCs w:val="24"/>
              </w:rPr>
              <w:t>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的简介。学生修完成</w:t>
            </w:r>
            <w:bookmarkStart w:id="0" w:name="_GoBack"/>
            <w:bookmarkEnd w:id="0"/>
            <w:r>
              <w:rPr>
                <w:rFonts w:ascii="Gungsuh" w:eastAsia="Gungsuh" w:hAnsi="Gungsuh" w:cs="Gungsuh"/>
                <w:sz w:val="24"/>
                <w:szCs w:val="24"/>
              </w:rPr>
              <w:t>课程应具备对市场微结构模型的基础知识及其与应用相关的技术。</w:t>
            </w:r>
          </w:p>
        </w:tc>
      </w:tr>
      <w:tr w:rsidR="00F51902" w14:paraId="539E64D6" w14:textId="77777777">
        <w:trPr>
          <w:trHeight w:val="3200"/>
        </w:trPr>
        <w:tc>
          <w:tcPr>
            <w:tcW w:w="9330" w:type="dxa"/>
            <w:gridSpan w:val="7"/>
          </w:tcPr>
          <w:p w14:paraId="5DF1CBC9" w14:textId="69913455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英文课程简介</w:t>
            </w:r>
          </w:p>
          <w:p w14:paraId="182B63BF" w14:textId="4C74CBD8" w:rsidR="00F51902" w:rsidRDefault="00B60737" w:rsidP="005C0BCF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course aims at introducing market microstructure models from economics, mathematics, and physics viewpoints. In order to prepare the student into the core, the first half of the course offers a crash course on </w:t>
            </w:r>
            <w:r w:rsidR="0075196F">
              <w:rPr>
                <w:rFonts w:ascii="Times New Roman" w:eastAsia="Times New Roman" w:hAnsi="Times New Roman" w:cs="Times New Roman"/>
                <w:sz w:val="24"/>
                <w:szCs w:val="24"/>
              </w:rPr>
              <w:t>time series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75196F">
              <w:rPr>
                <w:rFonts w:ascii="Times New Roman" w:eastAsia="Times New Roman" w:hAnsi="Times New Roman" w:cs="Times New Roman"/>
                <w:sz w:val="24"/>
                <w:szCs w:val="24"/>
              </w:rPr>
              <w:t>the theory of statistical 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 second half will cover modeling of limit order book, price impact models, problem of optimal execution, </w:t>
            </w:r>
            <w:r w:rsidR="005C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algorithmic trading strategies. Upon completion, students are expected to understand the market microstructure models covered in the course and possess basic skills to implement the models.</w:t>
            </w:r>
          </w:p>
        </w:tc>
      </w:tr>
      <w:tr w:rsidR="00F51902" w14:paraId="7C99F03D" w14:textId="77777777">
        <w:trPr>
          <w:trHeight w:val="1540"/>
        </w:trPr>
        <w:tc>
          <w:tcPr>
            <w:tcW w:w="9330" w:type="dxa"/>
            <w:gridSpan w:val="7"/>
          </w:tcPr>
          <w:p w14:paraId="7E8F4665" w14:textId="23E9A1D3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教学大纲</w:t>
            </w:r>
          </w:p>
          <w:p w14:paraId="598C9D08" w14:textId="77777777" w:rsidR="00F51902" w:rsidRDefault="00F51902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  <w:p w14:paraId="02711DFE" w14:textId="77777777" w:rsidR="00F51902" w:rsidRDefault="00B607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基本目的: </w:t>
            </w:r>
          </w:p>
          <w:p w14:paraId="489843D5" w14:textId="77777777" w:rsidR="00F51902" w:rsidRDefault="00B607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了解市场微结构模型及其在实务上的应用。</w:t>
            </w:r>
          </w:p>
          <w:p w14:paraId="146F22D1" w14:textId="77777777" w:rsidR="00F51902" w:rsidRDefault="00F5190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76DA4" w14:textId="77777777" w:rsidR="00F51902" w:rsidRDefault="00B607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内容提要及相应学时分配: </w:t>
            </w:r>
          </w:p>
          <w:p w14:paraId="7A55EB84" w14:textId="77777777" w:rsidR="00F51902" w:rsidRDefault="00B60737">
            <w:pPr>
              <w:numPr>
                <w:ilvl w:val="0"/>
                <w:numId w:val="6"/>
              </w:numPr>
              <w:spacing w:before="40" w:after="40" w:line="288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Background materials (8学时)</w:t>
            </w:r>
          </w:p>
          <w:p w14:paraId="22331737" w14:textId="2B75DD1F" w:rsidR="00F51902" w:rsidRPr="000D47DA" w:rsidRDefault="00B60737" w:rsidP="000D47DA">
            <w:pPr>
              <w:numPr>
                <w:ilvl w:val="0"/>
                <w:numId w:val="1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Crash course on </w:t>
            </w:r>
            <w:r w:rsidR="004C5F39">
              <w:rPr>
                <w:rFonts w:ascii="Times New Roman" w:eastAsia="Times New Roman" w:hAnsi="Times New Roman" w:cs="Times New Roman"/>
                <w:sz w:val="24"/>
                <w:szCs w:val="24"/>
              </w:rPr>
              <w:t>stochastic calculus</w:t>
            </w:r>
            <w:r w:rsidR="00020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stochastic control</w:t>
            </w:r>
          </w:p>
          <w:p w14:paraId="4ABCFD79" w14:textId="459660E5" w:rsidR="00F51902" w:rsidRDefault="004C5F39">
            <w:pPr>
              <w:numPr>
                <w:ilvl w:val="0"/>
                <w:numId w:val="1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series analysis</w:t>
            </w:r>
          </w:p>
          <w:p w14:paraId="350FFD3F" w14:textId="77EE0245" w:rsidR="004C5F39" w:rsidRDefault="004C5F39">
            <w:pPr>
              <w:numPr>
                <w:ilvl w:val="0"/>
                <w:numId w:val="1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learning</w:t>
            </w:r>
          </w:p>
          <w:p w14:paraId="4F54F6DA" w14:textId="77777777" w:rsidR="00F51902" w:rsidRDefault="00B60737">
            <w:pPr>
              <w:numPr>
                <w:ilvl w:val="0"/>
                <w:numId w:val="8"/>
              </w:numPr>
              <w:spacing w:before="40" w:after="40" w:line="288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Economics models (8学时)</w:t>
            </w:r>
          </w:p>
          <w:p w14:paraId="098EF89E" w14:textId="77777777" w:rsidR="00F51902" w:rsidRDefault="00B60737">
            <w:pPr>
              <w:numPr>
                <w:ilvl w:val="0"/>
                <w:numId w:val="4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Inventory models</w:t>
            </w:r>
          </w:p>
          <w:p w14:paraId="74909473" w14:textId="68668D18" w:rsidR="00F51902" w:rsidRPr="00020B7F" w:rsidRDefault="00B60737" w:rsidP="00020B7F">
            <w:pPr>
              <w:numPr>
                <w:ilvl w:val="0"/>
                <w:numId w:val="4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based models</w:t>
            </w:r>
          </w:p>
          <w:p w14:paraId="699BED2C" w14:textId="77777777" w:rsidR="00F51902" w:rsidRDefault="00B60737">
            <w:pPr>
              <w:numPr>
                <w:ilvl w:val="0"/>
                <w:numId w:val="4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Information and the price process</w:t>
            </w:r>
          </w:p>
          <w:p w14:paraId="1DE69252" w14:textId="77777777" w:rsidR="00F51902" w:rsidRDefault="00B60737">
            <w:pPr>
              <w:numPr>
                <w:ilvl w:val="0"/>
                <w:numId w:val="5"/>
              </w:numPr>
              <w:spacing w:before="40" w:after="40" w:line="288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Market models (8学时)</w:t>
            </w:r>
          </w:p>
          <w:p w14:paraId="4A43B09C" w14:textId="77777777" w:rsidR="00F51902" w:rsidRDefault="00B60737">
            <w:pPr>
              <w:numPr>
                <w:ilvl w:val="0"/>
                <w:numId w:val="2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 vs limit order decision</w:t>
            </w:r>
          </w:p>
          <w:p w14:paraId="6E1AAADB" w14:textId="501ACBBD" w:rsidR="00F51902" w:rsidRDefault="0040578C">
            <w:pPr>
              <w:numPr>
                <w:ilvl w:val="0"/>
                <w:numId w:val="2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 arbitrage strategy </w:t>
            </w:r>
            <w:r w:rsidR="00A575FE">
              <w:rPr>
                <w:rFonts w:ascii="Times New Roman" w:eastAsia="Times New Roman" w:hAnsi="Times New Roman" w:cs="Times New Roman"/>
                <w:sz w:val="24"/>
                <w:szCs w:val="24"/>
              </w:rPr>
              <w:t>and mean reversion trading</w:t>
            </w:r>
          </w:p>
          <w:p w14:paraId="101990FE" w14:textId="77777777" w:rsidR="00F51902" w:rsidRDefault="00B60737">
            <w:pPr>
              <w:numPr>
                <w:ilvl w:val="0"/>
                <w:numId w:val="7"/>
              </w:numPr>
              <w:spacing w:before="40" w:after="40" w:line="288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Price impact models and their related optimal execution schemes (8学时)</w:t>
            </w:r>
          </w:p>
          <w:p w14:paraId="3FDC1672" w14:textId="2E778C0E" w:rsidR="00F51902" w:rsidRDefault="005953CA">
            <w:pPr>
              <w:numPr>
                <w:ilvl w:val="0"/>
                <w:numId w:val="3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Modeling of market impact</w:t>
            </w:r>
          </w:p>
          <w:p w14:paraId="7955F9C3" w14:textId="77777777" w:rsidR="00F51902" w:rsidRDefault="00B60737">
            <w:pPr>
              <w:numPr>
                <w:ilvl w:val="0"/>
                <w:numId w:val="3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Optimal execution strategies</w:t>
            </w:r>
          </w:p>
          <w:p w14:paraId="42E2E5BA" w14:textId="77777777" w:rsidR="00F51902" w:rsidRDefault="00B60737">
            <w:pPr>
              <w:numPr>
                <w:ilvl w:val="0"/>
                <w:numId w:val="3"/>
              </w:numPr>
              <w:spacing w:before="40" w:after="4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Algorithmic trading with learning</w:t>
            </w:r>
          </w:p>
          <w:p w14:paraId="1593D7AE" w14:textId="77777777" w:rsidR="00F51902" w:rsidRDefault="00F5190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5F025" w14:textId="77777777" w:rsidR="00F51902" w:rsidRDefault="00B607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教学方式: </w:t>
            </w:r>
          </w:p>
          <w:p w14:paraId="3B9AB5A6" w14:textId="77777777" w:rsidR="00F51902" w:rsidRDefault="00B607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课堂讲授: 100%</w:t>
            </w:r>
          </w:p>
          <w:p w14:paraId="393784F6" w14:textId="77777777" w:rsidR="00F51902" w:rsidRDefault="00F5190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49B2C" w14:textId="77777777" w:rsidR="00F51902" w:rsidRDefault="00B607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学生成绩评定办法: </w:t>
            </w:r>
          </w:p>
          <w:p w14:paraId="3FF1BD9A" w14:textId="77777777" w:rsidR="00F51902" w:rsidRDefault="00B607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作业: 60%, 期末考: 40%</w:t>
            </w:r>
          </w:p>
          <w:p w14:paraId="380395E3" w14:textId="77777777" w:rsidR="00F51902" w:rsidRDefault="00F5190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A25F01" w14:textId="77777777" w:rsidR="00F51902" w:rsidRDefault="00B60737">
      <w:pPr>
        <w:widowControl w:val="0"/>
        <w:rPr>
          <w:rFonts w:ascii="宋体" w:eastAsia="宋体" w:hAnsi="宋体" w:cs="宋体"/>
          <w:sz w:val="24"/>
          <w:szCs w:val="24"/>
        </w:rPr>
      </w:pPr>
      <w:r>
        <w:lastRenderedPageBreak/>
        <w:br w:type="page"/>
      </w:r>
    </w:p>
    <w:p w14:paraId="4823732B" w14:textId="77777777" w:rsidR="00F51902" w:rsidRDefault="00F51902">
      <w:pPr>
        <w:widowControl w:val="0"/>
        <w:rPr>
          <w:rFonts w:ascii="宋体" w:eastAsia="宋体" w:hAnsi="宋体" w:cs="宋体"/>
          <w:sz w:val="24"/>
          <w:szCs w:val="24"/>
        </w:rPr>
      </w:pPr>
    </w:p>
    <w:tbl>
      <w:tblPr>
        <w:tblStyle w:val="a6"/>
        <w:tblW w:w="8820" w:type="dxa"/>
        <w:tblInd w:w="-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84"/>
        <w:gridCol w:w="180"/>
        <w:gridCol w:w="1620"/>
        <w:gridCol w:w="3240"/>
        <w:gridCol w:w="2160"/>
        <w:gridCol w:w="900"/>
      </w:tblGrid>
      <w:tr w:rsidR="00F51902" w14:paraId="7497CFAD" w14:textId="77777777">
        <w:trPr>
          <w:trHeight w:val="300"/>
        </w:trPr>
        <w:tc>
          <w:tcPr>
            <w:tcW w:w="72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053E11" w14:textId="77777777" w:rsidR="00F51902" w:rsidRDefault="00F51902">
            <w:pPr>
              <w:widowControl w:val="0"/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2B0CD5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作者译者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1B982E8F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书名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383EDC12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出版社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E8D7A40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出版年</w:t>
            </w:r>
          </w:p>
        </w:tc>
      </w:tr>
      <w:tr w:rsidR="00F51902" w14:paraId="53CE1F8E" w14:textId="77777777">
        <w:trPr>
          <w:trHeight w:val="440"/>
        </w:trPr>
        <w:tc>
          <w:tcPr>
            <w:tcW w:w="436" w:type="dxa"/>
            <w:vMerge w:val="restart"/>
            <w:tcBorders>
              <w:top w:val="single" w:sz="6" w:space="0" w:color="000000"/>
            </w:tcBorders>
            <w:vAlign w:val="center"/>
          </w:tcPr>
          <w:p w14:paraId="7F07054C" w14:textId="77777777" w:rsidR="00F51902" w:rsidRDefault="00B60737">
            <w:pPr>
              <w:widowControl w:val="0"/>
              <w:spacing w:before="40" w:after="40" w:line="240" w:lineRule="auto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参考书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>（必须填写，不得少于10部）</w:t>
            </w:r>
          </w:p>
        </w:tc>
        <w:tc>
          <w:tcPr>
            <w:tcW w:w="46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6332B7" w14:textId="77777777" w:rsidR="00F51902" w:rsidRDefault="00B60737">
            <w:pPr>
              <w:widowControl w:val="0"/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D64EE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O’Hara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DF1F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Market microstructure theory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D67E1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Wiley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6DE61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1998</w:t>
            </w:r>
          </w:p>
        </w:tc>
      </w:tr>
      <w:tr w:rsidR="00F51902" w14:paraId="0302BCFB" w14:textId="77777777">
        <w:trPr>
          <w:trHeight w:val="440"/>
        </w:trPr>
        <w:tc>
          <w:tcPr>
            <w:tcW w:w="436" w:type="dxa"/>
            <w:vMerge/>
            <w:tcBorders>
              <w:top w:val="single" w:sz="6" w:space="0" w:color="000000"/>
            </w:tcBorders>
            <w:vAlign w:val="center"/>
          </w:tcPr>
          <w:p w14:paraId="259D6F24" w14:textId="77777777" w:rsidR="00F51902" w:rsidRDefault="00F51902">
            <w:pPr>
              <w:widowControl w:val="0"/>
              <w:spacing w:before="40" w:after="40" w:line="240" w:lineRule="auto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nil"/>
              <w:bottom w:val="single" w:sz="6" w:space="0" w:color="000000"/>
            </w:tcBorders>
            <w:vAlign w:val="center"/>
          </w:tcPr>
          <w:p w14:paraId="23BD88C7" w14:textId="77777777" w:rsidR="00F51902" w:rsidRDefault="00B60737">
            <w:pPr>
              <w:widowControl w:val="0"/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505D2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Hasbrouck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26BA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Empirical market microstructure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7474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Oxford University Press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598A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2007</w:t>
            </w:r>
          </w:p>
        </w:tc>
      </w:tr>
      <w:tr w:rsidR="00F51902" w14:paraId="06E066D8" w14:textId="77777777">
        <w:trPr>
          <w:trHeight w:val="440"/>
        </w:trPr>
        <w:tc>
          <w:tcPr>
            <w:tcW w:w="436" w:type="dxa"/>
            <w:vMerge/>
            <w:tcBorders>
              <w:top w:val="single" w:sz="6" w:space="0" w:color="000000"/>
            </w:tcBorders>
            <w:vAlign w:val="center"/>
          </w:tcPr>
          <w:p w14:paraId="1B18A55B" w14:textId="77777777" w:rsidR="00F51902" w:rsidRDefault="00F51902">
            <w:pPr>
              <w:widowControl w:val="0"/>
              <w:spacing w:before="40" w:after="40" w:line="240" w:lineRule="auto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top w:val="single" w:sz="6" w:space="0" w:color="000000"/>
            </w:tcBorders>
            <w:vAlign w:val="center"/>
          </w:tcPr>
          <w:p w14:paraId="1B8C4212" w14:textId="77777777" w:rsidR="00F51902" w:rsidRDefault="00B60737">
            <w:pPr>
              <w:widowControl w:val="0"/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F64E2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 xml:space="preserve">De Jong and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Rindi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22B9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The microstructure of financial market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C6FC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Cambridge University Press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78BB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2009</w:t>
            </w:r>
          </w:p>
        </w:tc>
      </w:tr>
      <w:tr w:rsidR="00F51902" w14:paraId="72BFDBEA" w14:textId="77777777">
        <w:trPr>
          <w:trHeight w:val="440"/>
        </w:trPr>
        <w:tc>
          <w:tcPr>
            <w:tcW w:w="436" w:type="dxa"/>
            <w:vMerge/>
            <w:tcBorders>
              <w:top w:val="single" w:sz="6" w:space="0" w:color="000000"/>
            </w:tcBorders>
            <w:vAlign w:val="center"/>
          </w:tcPr>
          <w:p w14:paraId="69D615D4" w14:textId="77777777" w:rsidR="00F51902" w:rsidRDefault="00F51902">
            <w:pPr>
              <w:widowControl w:val="0"/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14:paraId="55104A0B" w14:textId="77777777" w:rsidR="00F51902" w:rsidRDefault="00B60737">
            <w:pPr>
              <w:widowControl w:val="0"/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74A4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 xml:space="preserve">Foucault, Pagano and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Roell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89FF5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Market liquidity: Theory, evidence and policy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D2E87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Oxford University Press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D78C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2013</w:t>
            </w:r>
          </w:p>
        </w:tc>
      </w:tr>
      <w:tr w:rsidR="00F51902" w14:paraId="2BC94634" w14:textId="77777777">
        <w:trPr>
          <w:trHeight w:val="440"/>
        </w:trPr>
        <w:tc>
          <w:tcPr>
            <w:tcW w:w="436" w:type="dxa"/>
            <w:vMerge/>
            <w:tcBorders>
              <w:top w:val="single" w:sz="6" w:space="0" w:color="000000"/>
            </w:tcBorders>
            <w:vAlign w:val="center"/>
          </w:tcPr>
          <w:p w14:paraId="456499D7" w14:textId="77777777" w:rsidR="00F51902" w:rsidRDefault="00F51902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14:paraId="3F6EB46F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CC4F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Lehalle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Laruelle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6BF34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Market microstructure in practice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F2D3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World Scientific Publishing Company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D66B1" w14:textId="77777777" w:rsidR="00F51902" w:rsidRDefault="00B60737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2013</w:t>
            </w:r>
          </w:p>
        </w:tc>
      </w:tr>
      <w:tr w:rsidR="00F51902" w14:paraId="28D04A59" w14:textId="77777777">
        <w:trPr>
          <w:trHeight w:val="440"/>
        </w:trPr>
        <w:tc>
          <w:tcPr>
            <w:tcW w:w="436" w:type="dxa"/>
            <w:vMerge/>
            <w:tcBorders>
              <w:top w:val="single" w:sz="6" w:space="0" w:color="000000"/>
            </w:tcBorders>
            <w:vAlign w:val="center"/>
          </w:tcPr>
          <w:p w14:paraId="639711AE" w14:textId="77777777" w:rsidR="00F51902" w:rsidRDefault="00F51902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14:paraId="358E236B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863B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Cartea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Jaimungal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Penalva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4E6A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 xml:space="preserve">Algorithmic and high-frequency trading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80F34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Cambridge University Press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F770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2015</w:t>
            </w:r>
          </w:p>
        </w:tc>
      </w:tr>
      <w:tr w:rsidR="00F51902" w14:paraId="52B7962A" w14:textId="77777777">
        <w:trPr>
          <w:trHeight w:val="440"/>
        </w:trPr>
        <w:tc>
          <w:tcPr>
            <w:tcW w:w="436" w:type="dxa"/>
            <w:vMerge/>
            <w:tcBorders>
              <w:top w:val="single" w:sz="6" w:space="0" w:color="000000"/>
            </w:tcBorders>
            <w:vAlign w:val="center"/>
          </w:tcPr>
          <w:p w14:paraId="59C0F6D2" w14:textId="77777777" w:rsidR="00F51902" w:rsidRDefault="00F51902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14:paraId="5AC9C2DC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5355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Abergel</w:t>
            </w:r>
            <w:proofErr w:type="spellEnd"/>
            <w:r>
              <w:rPr>
                <w:rFonts w:ascii="宋体" w:eastAsia="宋体" w:hAnsi="宋体" w:cs="宋体"/>
                <w:sz w:val="20"/>
                <w:szCs w:val="20"/>
              </w:rPr>
              <w:t xml:space="preserve"> et al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9C73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Market microstructure: confronting many viewpoints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C6F0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Wiley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B2E4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2012</w:t>
            </w:r>
          </w:p>
        </w:tc>
      </w:tr>
      <w:tr w:rsidR="00F51902" w14:paraId="296264BB" w14:textId="77777777">
        <w:trPr>
          <w:trHeight w:val="440"/>
        </w:trPr>
        <w:tc>
          <w:tcPr>
            <w:tcW w:w="436" w:type="dxa"/>
            <w:vMerge/>
            <w:tcBorders>
              <w:top w:val="single" w:sz="6" w:space="0" w:color="000000"/>
            </w:tcBorders>
            <w:vAlign w:val="center"/>
          </w:tcPr>
          <w:p w14:paraId="6808B215" w14:textId="77777777" w:rsidR="00F51902" w:rsidRDefault="00F51902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14:paraId="30A4ADE4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CAA3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</w:rPr>
              <w:t>Vives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9BA4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Information and learning in markets: the impact of market microstructure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C6E7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Princeton University Press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39470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2010</w:t>
            </w:r>
          </w:p>
        </w:tc>
      </w:tr>
      <w:tr w:rsidR="00F51902" w14:paraId="75AE0953" w14:textId="77777777">
        <w:trPr>
          <w:trHeight w:val="440"/>
        </w:trPr>
        <w:tc>
          <w:tcPr>
            <w:tcW w:w="436" w:type="dxa"/>
            <w:vMerge/>
            <w:tcBorders>
              <w:top w:val="single" w:sz="6" w:space="0" w:color="000000"/>
            </w:tcBorders>
            <w:vAlign w:val="center"/>
          </w:tcPr>
          <w:p w14:paraId="3EBF1DD2" w14:textId="77777777" w:rsidR="00F51902" w:rsidRDefault="00F51902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14:paraId="44E7CA7E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2F60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Durbin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230F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All about high-frequency trading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BBE3C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McGraw-Hill Education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B7B8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2010</w:t>
            </w:r>
          </w:p>
        </w:tc>
      </w:tr>
      <w:tr w:rsidR="00F51902" w14:paraId="676106FA" w14:textId="77777777">
        <w:trPr>
          <w:trHeight w:val="440"/>
        </w:trPr>
        <w:tc>
          <w:tcPr>
            <w:tcW w:w="436" w:type="dxa"/>
            <w:vMerge/>
            <w:tcBorders>
              <w:top w:val="single" w:sz="6" w:space="0" w:color="000000"/>
            </w:tcBorders>
            <w:vAlign w:val="center"/>
          </w:tcPr>
          <w:p w14:paraId="30A89C2E" w14:textId="77777777" w:rsidR="00F51902" w:rsidRDefault="00F51902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14:paraId="4F7C6142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04EE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Johnson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0423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Algorithmic trading and DMA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9F49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4Myeloma Press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9501" w14:textId="77777777" w:rsidR="00F51902" w:rsidRDefault="00B60737">
            <w:pPr>
              <w:spacing w:before="40" w:after="40" w:line="24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2010</w:t>
            </w:r>
          </w:p>
        </w:tc>
      </w:tr>
      <w:tr w:rsidR="00F51902" w14:paraId="6CB76DD0" w14:textId="77777777">
        <w:trPr>
          <w:trHeight w:val="3560"/>
        </w:trPr>
        <w:tc>
          <w:tcPr>
            <w:tcW w:w="8820" w:type="dxa"/>
            <w:gridSpan w:val="7"/>
          </w:tcPr>
          <w:p w14:paraId="2A538CE2" w14:textId="77777777" w:rsidR="00F51902" w:rsidRDefault="00B60737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任课教师教学和科研简历（必填信息：</w:t>
            </w:r>
            <w:r>
              <w:rPr>
                <w:rFonts w:ascii="宋体" w:eastAsia="宋体" w:hAnsi="宋体" w:cs="宋体"/>
                <w:b/>
                <w:sz w:val="24"/>
                <w:szCs w:val="24"/>
                <w:u w:val="single"/>
              </w:rPr>
              <w:t>出生年月、所在院系/单位、入校工作时间、研究方向和常用邮箱、教学科研成就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；可另附页）</w:t>
            </w:r>
          </w:p>
          <w:p w14:paraId="62508E78" w14:textId="77777777" w:rsidR="00F51902" w:rsidRDefault="00F51902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7767FAA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王太和 (Tai-Ho Wang)</w:t>
            </w:r>
          </w:p>
          <w:p w14:paraId="280C7014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tai-ho.wang@baruch.cuny.edu</w:t>
            </w:r>
          </w:p>
          <w:p w14:paraId="00348882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Webpage: http://mfe.baruch.cuny.edu/tai-ho-wang-2/</w:t>
            </w:r>
          </w:p>
          <w:p w14:paraId="7A65A383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现职: 纽约市立大学巴鲁学院数学系教授, 2012/09迄今</w:t>
            </w:r>
          </w:p>
          <w:p w14:paraId="283ED2F3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最高学历: 台湾交通大学应用数学博士, 2000/06</w:t>
            </w:r>
          </w:p>
          <w:p w14:paraId="0D2F8DF8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研究方向: 数量金融及金融工程</w:t>
            </w:r>
          </w:p>
          <w:p w14:paraId="746626D3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经历:</w:t>
            </w:r>
          </w:p>
          <w:p w14:paraId="0DEC74A7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纽约市立大学巴鲁学院数学系副教授, 2008/09 ~ 2012/08</w:t>
            </w:r>
          </w:p>
          <w:p w14:paraId="4343D1DB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台湾中正大学数学系副教授, 2006/09 ~ 2008/08</w:t>
            </w:r>
          </w:p>
          <w:p w14:paraId="1BD69853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台湾中正大学数学系助理教授, 2002/09 ~ 2006/08</w:t>
            </w:r>
          </w:p>
          <w:p w14:paraId="129E72DC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纽约大学库朗学院博后研究, 2001/09 ~ 2002/08</w:t>
            </w:r>
          </w:p>
          <w:p w14:paraId="63A91911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台湾中央研究院数学所博后研究, 2000/09 ~ 2002/08</w:t>
            </w:r>
          </w:p>
          <w:p w14:paraId="69339563" w14:textId="77777777" w:rsidR="00F51902" w:rsidRDefault="00F5190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6EC99" w14:textId="77777777" w:rsidR="00F51902" w:rsidRDefault="00B60737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金融相关著作:</w:t>
            </w:r>
          </w:p>
          <w:p w14:paraId="6DDFB087" w14:textId="77777777" w:rsidR="00CD43DF" w:rsidRDefault="00B60737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CD43DF" w:rsidRPr="00CD43DF">
              <w:rPr>
                <w:rFonts w:ascii="Times New Roman" w:eastAsia="Times New Roman" w:hAnsi="Times New Roman" w:cs="Times New Roman"/>
              </w:rPr>
              <w:t xml:space="preserve">(with </w:t>
            </w:r>
            <w:proofErr w:type="spellStart"/>
            <w:r w:rsidR="00CD43DF" w:rsidRPr="00CD43DF">
              <w:rPr>
                <w:rFonts w:ascii="Times New Roman" w:eastAsia="Times New Roman" w:hAnsi="Times New Roman" w:cs="Times New Roman"/>
              </w:rPr>
              <w:t>Xue</w:t>
            </w:r>
            <w:proofErr w:type="spellEnd"/>
            <w:r w:rsidR="00CD43DF" w:rsidRPr="00CD43DF">
              <w:rPr>
                <w:rFonts w:ascii="Times New Roman" w:eastAsia="Times New Roman" w:hAnsi="Times New Roman" w:cs="Times New Roman"/>
              </w:rPr>
              <w:t xml:space="preserve"> Cheng and Marina Di </w:t>
            </w:r>
            <w:proofErr w:type="spellStart"/>
            <w:r w:rsidR="00CD43DF" w:rsidRPr="00CD43DF">
              <w:rPr>
                <w:rFonts w:ascii="Times New Roman" w:eastAsia="Times New Roman" w:hAnsi="Times New Roman" w:cs="Times New Roman"/>
              </w:rPr>
              <w:t>Giacinto</w:t>
            </w:r>
            <w:proofErr w:type="spellEnd"/>
            <w:r w:rsidR="00CD43DF" w:rsidRPr="00CD43DF">
              <w:rPr>
                <w:rFonts w:ascii="Times New Roman" w:eastAsia="Times New Roman" w:hAnsi="Times New Roman" w:cs="Times New Roman"/>
              </w:rPr>
              <w:t xml:space="preserve">) </w:t>
            </w:r>
            <w:r w:rsidR="00CD43DF" w:rsidRPr="00CD43DF">
              <w:rPr>
                <w:rFonts w:ascii="Times New Roman" w:eastAsia="Times New Roman" w:hAnsi="Times New Roman" w:cs="Times New Roman"/>
                <w:i/>
              </w:rPr>
              <w:t>Optimal execution with uncertain order fills in Almgren-</w:t>
            </w:r>
            <w:proofErr w:type="spellStart"/>
            <w:r w:rsidR="00CD43DF" w:rsidRPr="00CD43DF">
              <w:rPr>
                <w:rFonts w:ascii="Times New Roman" w:eastAsia="Times New Roman" w:hAnsi="Times New Roman" w:cs="Times New Roman"/>
                <w:i/>
              </w:rPr>
              <w:t>Chriss</w:t>
            </w:r>
            <w:proofErr w:type="spellEnd"/>
            <w:r w:rsidR="00CD43DF" w:rsidRPr="00CD43DF">
              <w:rPr>
                <w:rFonts w:ascii="Times New Roman" w:eastAsia="Times New Roman" w:hAnsi="Times New Roman" w:cs="Times New Roman"/>
                <w:i/>
              </w:rPr>
              <w:t xml:space="preserve"> framework</w:t>
            </w:r>
            <w:r w:rsidR="00CD43DF">
              <w:rPr>
                <w:rFonts w:ascii="Times New Roman" w:eastAsia="Times New Roman" w:hAnsi="Times New Roman" w:cs="Times New Roman"/>
              </w:rPr>
              <w:t xml:space="preserve">, </w:t>
            </w:r>
            <w:r w:rsidR="00CD43DF" w:rsidRPr="00CD43DF">
              <w:rPr>
                <w:rFonts w:ascii="Times New Roman" w:eastAsia="Times New Roman" w:hAnsi="Times New Roman" w:cs="Times New Roman"/>
              </w:rPr>
              <w:t>Quantitative Finance, 17(1), 55-69, (2017)</w:t>
            </w:r>
          </w:p>
          <w:p w14:paraId="39840A21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(with Jim </w:t>
            </w:r>
            <w:proofErr w:type="spellStart"/>
            <w:r w:rsidR="00B60737">
              <w:rPr>
                <w:rFonts w:ascii="Times New Roman" w:eastAsia="Times New Roman" w:hAnsi="Times New Roman" w:cs="Times New Roman"/>
              </w:rPr>
              <w:t>Gatheral</w:t>
            </w:r>
            <w:proofErr w:type="spellEnd"/>
            <w:r w:rsidR="00B60737">
              <w:rPr>
                <w:rFonts w:ascii="Times New Roman" w:eastAsia="Times New Roman" w:hAnsi="Times New Roman" w:cs="Times New Roman"/>
              </w:rPr>
              <w:t xml:space="preserve">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>Implied Volatility from Local Volatility: A Path Integral Approach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Springer Proceedings in Mathematics &amp; Statistics, Vol. 110,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>Large Deviations and Asymptotic Methods in Finance</w:t>
            </w:r>
            <w:r w:rsidR="00B60737">
              <w:rPr>
                <w:rFonts w:ascii="Times New Roman" w:eastAsia="Times New Roman" w:hAnsi="Times New Roman" w:cs="Times New Roman"/>
              </w:rPr>
              <w:t>, 247-271, (2015)</w:t>
            </w:r>
          </w:p>
          <w:p w14:paraId="19855ACC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Book Review on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 xml:space="preserve">Nonlinear Option Pricing 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by J. </w:t>
            </w:r>
            <w:proofErr w:type="spellStart"/>
            <w:r w:rsidR="00B60737">
              <w:rPr>
                <w:rFonts w:ascii="Times New Roman" w:eastAsia="Times New Roman" w:hAnsi="Times New Roman" w:cs="Times New Roman"/>
              </w:rPr>
              <w:t>Guyon</w:t>
            </w:r>
            <w:proofErr w:type="spellEnd"/>
            <w:r w:rsidR="00B60737">
              <w:rPr>
                <w:rFonts w:ascii="Times New Roman" w:eastAsia="Times New Roman" w:hAnsi="Times New Roman" w:cs="Times New Roman"/>
              </w:rPr>
              <w:t xml:space="preserve"> and P. Henry-</w:t>
            </w:r>
            <w:proofErr w:type="spellStart"/>
            <w:r w:rsidR="00B60737">
              <w:rPr>
                <w:rFonts w:ascii="Times New Roman" w:eastAsia="Times New Roman" w:hAnsi="Times New Roman" w:cs="Times New Roman"/>
              </w:rPr>
              <w:t>Labord</w:t>
            </w:r>
            <w:r w:rsidR="00B60737">
              <w:rPr>
                <w:rFonts w:ascii="Calibri" w:eastAsia="Calibri" w:hAnsi="Calibri" w:cs="Calibri"/>
              </w:rPr>
              <w:t>è</w:t>
            </w:r>
            <w:r w:rsidR="00B60737">
              <w:rPr>
                <w:rFonts w:ascii="Times New Roman" w:eastAsia="Times New Roman" w:hAnsi="Times New Roman" w:cs="Times New Roman"/>
              </w:rPr>
              <w:t>re</w:t>
            </w:r>
            <w:proofErr w:type="spellEnd"/>
            <w:r w:rsidR="00B60737">
              <w:rPr>
                <w:rFonts w:ascii="Times New Roman" w:eastAsia="Times New Roman" w:hAnsi="Times New Roman" w:cs="Times New Roman"/>
              </w:rPr>
              <w:t>, Quantitative Finance, 15(1), 19-21, (2015)</w:t>
            </w:r>
          </w:p>
          <w:p w14:paraId="2BF9108A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</w:t>
            </w:r>
            <w:hyperlink r:id="rId8">
              <w:r w:rsidR="00B60737">
                <w:rPr>
                  <w:rFonts w:ascii="Times New Roman" w:eastAsia="Times New Roman" w:hAnsi="Times New Roman" w:cs="Times New Roman"/>
                </w:rPr>
                <w:t>Jim Gatheral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 xml:space="preserve">) </w:t>
            </w:r>
            <w:hyperlink r:id="rId9">
              <w:r w:rsidR="00B60737">
                <w:rPr>
                  <w:rFonts w:ascii="Times New Roman" w:eastAsia="Times New Roman" w:hAnsi="Times New Roman" w:cs="Times New Roman"/>
                  <w:i/>
                </w:rPr>
                <w:t>The Heat-Kernel Most-Likely-Path Approximation</w:t>
              </w:r>
            </w:hyperlink>
            <w:hyperlink r:id="rId10">
              <w:r w:rsidR="00B60737">
                <w:rPr>
                  <w:rFonts w:ascii="Times New Roman" w:eastAsia="Times New Roman" w:hAnsi="Times New Roman" w:cs="Times New Roman"/>
                </w:rPr>
                <w:t>.</w:t>
              </w:r>
            </w:hyperlink>
            <w:hyperlink r:id="rId11">
              <w:r w:rsidR="00B60737">
                <w:rPr>
                  <w:rFonts w:ascii="Times New Roman" w:eastAsia="Times New Roman" w:hAnsi="Times New Roman" w:cs="Times New Roman"/>
                  <w:i/>
                </w:rPr>
                <w:t xml:space="preserve"> </w:t>
              </w:r>
            </w:hyperlink>
            <w:hyperlink r:id="rId12">
              <w:r w:rsidR="00B60737">
                <w:rPr>
                  <w:rFonts w:ascii="Times New Roman" w:eastAsia="Times New Roman" w:hAnsi="Times New Roman" w:cs="Times New Roman"/>
                </w:rPr>
                <w:t>International Journal of Theoretical and Applied Finance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>, 15(1), 1250001 (2012)</w:t>
            </w:r>
          </w:p>
          <w:p w14:paraId="0CFC3C1A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</w:t>
            </w:r>
            <w:hyperlink r:id="rId13">
              <w:r w:rsidR="00B60737">
                <w:rPr>
                  <w:rFonts w:ascii="Times New Roman" w:eastAsia="Times New Roman" w:hAnsi="Times New Roman" w:cs="Times New Roman"/>
                </w:rPr>
                <w:t>Jim Gatheral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14">
              <w:r w:rsidR="00B60737">
                <w:rPr>
                  <w:rFonts w:ascii="Times New Roman" w:eastAsia="Times New Roman" w:hAnsi="Times New Roman" w:cs="Times New Roman"/>
                </w:rPr>
                <w:t>Elton Hsu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15">
              <w:r w:rsidR="00B60737">
                <w:rPr>
                  <w:rFonts w:ascii="Times New Roman" w:eastAsia="Times New Roman" w:hAnsi="Times New Roman" w:cs="Times New Roman"/>
                </w:rPr>
                <w:t>Peter Laurence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 xml:space="preserve">, and </w:t>
            </w:r>
            <w:hyperlink r:id="rId16">
              <w:r w:rsidR="00B60737">
                <w:rPr>
                  <w:rFonts w:ascii="Times New Roman" w:eastAsia="Times New Roman" w:hAnsi="Times New Roman" w:cs="Times New Roman"/>
                </w:rPr>
                <w:t>Cheng Ouyang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 xml:space="preserve">) </w:t>
            </w:r>
            <w:hyperlink r:id="rId17">
              <w:r w:rsidR="00B60737">
                <w:rPr>
                  <w:rFonts w:ascii="Times New Roman" w:eastAsia="Times New Roman" w:hAnsi="Times New Roman" w:cs="Times New Roman"/>
                  <w:i/>
                </w:rPr>
                <w:t>Asymptotics of Implied Volatility in Local Volatility Models</w:t>
              </w:r>
            </w:hyperlink>
            <w:hyperlink r:id="rId18">
              <w:r w:rsidR="00B60737">
                <w:rPr>
                  <w:rFonts w:ascii="Times New Roman" w:eastAsia="Times New Roman" w:hAnsi="Times New Roman" w:cs="Times New Roman"/>
                </w:rPr>
                <w:t>.</w:t>
              </w:r>
            </w:hyperlink>
            <w:r w:rsidR="00B6073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hyperlink r:id="rId19">
              <w:r w:rsidR="00B60737">
                <w:rPr>
                  <w:rFonts w:ascii="Times New Roman" w:eastAsia="Times New Roman" w:hAnsi="Times New Roman" w:cs="Times New Roman"/>
                </w:rPr>
                <w:t>Mathematical Finance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>, 22(4), 591~620 (2012)</w:t>
            </w:r>
          </w:p>
          <w:p w14:paraId="439A6D3D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Peter Laurence and Sheng-Li Wang)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 xml:space="preserve">Generalized Uncorrelated SABR Models with a High Degree of Symmetry. </w:t>
            </w:r>
            <w:hyperlink r:id="rId20">
              <w:r w:rsidR="00B60737">
                <w:rPr>
                  <w:rFonts w:ascii="Times New Roman" w:eastAsia="Times New Roman" w:hAnsi="Times New Roman" w:cs="Times New Roman"/>
                </w:rPr>
                <w:t>Quantitative Finance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>, 10(6), 663-679 (2010)</w:t>
            </w:r>
          </w:p>
          <w:p w14:paraId="165D950E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Peter Laurence)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 xml:space="preserve">Sharp Distribution Free Lower Bounds for Spread Options and the Corresponding Optimal </w:t>
            </w:r>
            <w:proofErr w:type="spellStart"/>
            <w:r w:rsidR="00B60737">
              <w:rPr>
                <w:rFonts w:ascii="Times New Roman" w:eastAsia="Times New Roman" w:hAnsi="Times New Roman" w:cs="Times New Roman"/>
                <w:i/>
              </w:rPr>
              <w:t>Subreplicating</w:t>
            </w:r>
            <w:proofErr w:type="spellEnd"/>
            <w:r w:rsidR="00B60737">
              <w:rPr>
                <w:rFonts w:ascii="Times New Roman" w:eastAsia="Times New Roman" w:hAnsi="Times New Roman" w:cs="Times New Roman"/>
                <w:i/>
              </w:rPr>
              <w:t xml:space="preserve"> Portfolios.</w:t>
            </w:r>
            <w:hyperlink r:id="rId21">
              <w:r w:rsidR="00B60737">
                <w:rPr>
                  <w:rFonts w:ascii="Times New Roman" w:eastAsia="Times New Roman" w:hAnsi="Times New Roman" w:cs="Times New Roman"/>
                  <w:i/>
                </w:rPr>
                <w:t xml:space="preserve"> </w:t>
              </w:r>
            </w:hyperlink>
            <w:hyperlink r:id="rId22">
              <w:r w:rsidR="00B60737">
                <w:rPr>
                  <w:rFonts w:ascii="Times New Roman" w:eastAsia="Times New Roman" w:hAnsi="Times New Roman" w:cs="Times New Roman"/>
                </w:rPr>
                <w:t>Insurance: Mathematics and Economics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>, 34(1), 35-47 (2009)</w:t>
            </w:r>
          </w:p>
          <w:p w14:paraId="1F2BF009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Peter Laurence)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 xml:space="preserve">Distribution Free Upper Bounds for Spread Options and Market Implied </w:t>
            </w:r>
            <w:proofErr w:type="spellStart"/>
            <w:r w:rsidR="00B60737">
              <w:rPr>
                <w:rFonts w:ascii="Times New Roman" w:eastAsia="Times New Roman" w:hAnsi="Times New Roman" w:cs="Times New Roman"/>
                <w:i/>
              </w:rPr>
              <w:t>Comonotonicity</w:t>
            </w:r>
            <w:proofErr w:type="spellEnd"/>
            <w:r w:rsidR="00B60737">
              <w:rPr>
                <w:rFonts w:ascii="Times New Roman" w:eastAsia="Times New Roman" w:hAnsi="Times New Roman" w:cs="Times New Roman"/>
                <w:i/>
              </w:rPr>
              <w:t xml:space="preserve"> Gap. </w:t>
            </w:r>
            <w:hyperlink r:id="rId23">
              <w:r w:rsidR="00B60737">
                <w:rPr>
                  <w:rFonts w:ascii="Times New Roman" w:eastAsia="Times New Roman" w:hAnsi="Times New Roman" w:cs="Times New Roman"/>
                </w:rPr>
                <w:t>The European Journal of Finance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>, 11(8), 717-734 (2008)</w:t>
            </w:r>
          </w:p>
          <w:p w14:paraId="73A45AB7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Peter </w:t>
            </w:r>
            <w:proofErr w:type="spellStart"/>
            <w:r w:rsidR="00B60737">
              <w:rPr>
                <w:rFonts w:ascii="Times New Roman" w:eastAsia="Times New Roman" w:hAnsi="Times New Roman" w:cs="Times New Roman"/>
              </w:rPr>
              <w:t>Carr</w:t>
            </w:r>
            <w:proofErr w:type="spellEnd"/>
            <w:r w:rsidR="00B60737">
              <w:rPr>
                <w:rFonts w:ascii="Times New Roman" w:eastAsia="Times New Roman" w:hAnsi="Times New Roman" w:cs="Times New Roman"/>
              </w:rPr>
              <w:t xml:space="preserve"> and Peter Laurence)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 xml:space="preserve">Generating </w:t>
            </w:r>
            <w:proofErr w:type="spellStart"/>
            <w:r w:rsidR="00B60737">
              <w:rPr>
                <w:rFonts w:ascii="Times New Roman" w:eastAsia="Times New Roman" w:hAnsi="Times New Roman" w:cs="Times New Roman"/>
                <w:i/>
              </w:rPr>
              <w:t>Integrable</w:t>
            </w:r>
            <w:proofErr w:type="spellEnd"/>
            <w:r w:rsidR="00B60737">
              <w:rPr>
                <w:rFonts w:ascii="Times New Roman" w:eastAsia="Times New Roman" w:hAnsi="Times New Roman" w:cs="Times New Roman"/>
                <w:i/>
              </w:rPr>
              <w:t xml:space="preserve"> One Dimensional </w:t>
            </w:r>
            <w:proofErr w:type="spellStart"/>
            <w:r w:rsidR="00B60737">
              <w:rPr>
                <w:rFonts w:ascii="Times New Roman" w:eastAsia="Times New Roman" w:hAnsi="Times New Roman" w:cs="Times New Roman"/>
                <w:i/>
              </w:rPr>
              <w:t>Driftless</w:t>
            </w:r>
            <w:proofErr w:type="spellEnd"/>
            <w:r w:rsidR="00B60737">
              <w:rPr>
                <w:rFonts w:ascii="Times New Roman" w:eastAsia="Times New Roman" w:hAnsi="Times New Roman" w:cs="Times New Roman"/>
                <w:i/>
              </w:rPr>
              <w:t xml:space="preserve"> Diffusions.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br/>
            </w:r>
            <w:hyperlink r:id="rId24">
              <w:r w:rsidR="00B60737">
                <w:rPr>
                  <w:rFonts w:ascii="Times New Roman" w:eastAsia="Times New Roman" w:hAnsi="Times New Roman" w:cs="Times New Roman"/>
                </w:rPr>
                <w:t>Comptes Rendus Mathematique Academie des Sciences, Paris.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>, 343(6), 393-398 (2006)</w:t>
            </w:r>
          </w:p>
          <w:p w14:paraId="03390955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Peter Laurence)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 xml:space="preserve">Close Form Solutions for Quadratic and Inverse Quadratic Term Structure Models. </w:t>
            </w:r>
            <w:hyperlink r:id="rId25">
              <w:r w:rsidR="00B60737">
                <w:rPr>
                  <w:rFonts w:ascii="Times New Roman" w:eastAsia="Times New Roman" w:hAnsi="Times New Roman" w:cs="Times New Roman"/>
                </w:rPr>
                <w:t>International Journal of Theoretical and Applied Finance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>, 8(8), 1059-1083 (2005)</w:t>
            </w:r>
          </w:p>
          <w:p w14:paraId="3E27B641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B60737">
              <w:rPr>
                <w:rFonts w:ascii="Times New Roman" w:eastAsia="Times New Roman" w:hAnsi="Times New Roman" w:cs="Times New Roman"/>
              </w:rPr>
              <w:t>. (</w:t>
            </w:r>
            <w:proofErr w:type="gramStart"/>
            <w:r w:rsidR="00B60737">
              <w:rPr>
                <w:rFonts w:ascii="Times New Roman" w:eastAsia="Times New Roman" w:hAnsi="Times New Roman" w:cs="Times New Roman"/>
              </w:rPr>
              <w:t>with</w:t>
            </w:r>
            <w:proofErr w:type="gramEnd"/>
            <w:r w:rsidR="00B60737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6">
              <w:r w:rsidR="00B60737">
                <w:rPr>
                  <w:rFonts w:ascii="Times New Roman" w:eastAsia="Times New Roman" w:hAnsi="Times New Roman" w:cs="Times New Roman"/>
                </w:rPr>
                <w:t>David Hobson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 xml:space="preserve"> and Peter Laurence)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 xml:space="preserve">Static-arbitrage Optimal Sub-replicating Strategies for Basket Options. </w:t>
            </w:r>
            <w:r w:rsidR="00B60737">
              <w:rPr>
                <w:rFonts w:ascii="Times New Roman" w:eastAsia="Times New Roman" w:hAnsi="Times New Roman" w:cs="Times New Roman"/>
              </w:rPr>
              <w:t>Insurance: Mathematics and Economics, 37, 553-572 (2005)</w:t>
            </w:r>
          </w:p>
          <w:p w14:paraId="1487B42F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David Hobson and Peter Laurence)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 xml:space="preserve">Static-arbitrage Upper Bounds for the Prices of Basket Options. </w:t>
            </w:r>
            <w:r w:rsidR="00B60737">
              <w:rPr>
                <w:rFonts w:ascii="Times New Roman" w:eastAsia="Times New Roman" w:hAnsi="Times New Roman" w:cs="Times New Roman"/>
              </w:rPr>
              <w:t>Quantitative Finance, 5(4), 329-342 (2005)</w:t>
            </w:r>
          </w:p>
          <w:p w14:paraId="35182E04" w14:textId="77777777" w:rsidR="00F51902" w:rsidRDefault="00CD43DF">
            <w:pPr>
              <w:spacing w:before="100" w:after="10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Peter Laurence)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 xml:space="preserve">Sharp Upper and Lower Bounds for Basket Options. </w:t>
            </w:r>
            <w:hyperlink r:id="rId27">
              <w:r w:rsidR="00B60737">
                <w:rPr>
                  <w:rFonts w:ascii="Times New Roman" w:eastAsia="Times New Roman" w:hAnsi="Times New Roman" w:cs="Times New Roman"/>
                </w:rPr>
                <w:t>Applied Mathematical Finance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>, 12(3), 253-282 (2005)</w:t>
            </w:r>
          </w:p>
          <w:p w14:paraId="7BAA191B" w14:textId="77777777" w:rsidR="00F51902" w:rsidRDefault="00CD43DF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B60737">
              <w:rPr>
                <w:rFonts w:ascii="Times New Roman" w:eastAsia="Times New Roman" w:hAnsi="Times New Roman" w:cs="Times New Roman"/>
              </w:rPr>
              <w:t xml:space="preserve">. (with Peter Laurence) </w:t>
            </w:r>
            <w:r w:rsidR="00B60737">
              <w:rPr>
                <w:rFonts w:ascii="Times New Roman" w:eastAsia="Times New Roman" w:hAnsi="Times New Roman" w:cs="Times New Roman"/>
                <w:i/>
              </w:rPr>
              <w:t>What’s a basket worth?</w:t>
            </w:r>
            <w:hyperlink r:id="rId28">
              <w:r w:rsidR="00B60737">
                <w:rPr>
                  <w:rFonts w:ascii="Times New Roman" w:eastAsia="Times New Roman" w:hAnsi="Times New Roman" w:cs="Times New Roman"/>
                  <w:i/>
                </w:rPr>
                <w:t xml:space="preserve"> </w:t>
              </w:r>
            </w:hyperlink>
            <w:hyperlink r:id="rId29">
              <w:r w:rsidR="00B60737">
                <w:rPr>
                  <w:rFonts w:ascii="Times New Roman" w:eastAsia="Times New Roman" w:hAnsi="Times New Roman" w:cs="Times New Roman"/>
                </w:rPr>
                <w:t>Risk Magazine</w:t>
              </w:r>
            </w:hyperlink>
            <w:r w:rsidR="00B60737">
              <w:rPr>
                <w:rFonts w:ascii="Times New Roman" w:eastAsia="Times New Roman" w:hAnsi="Times New Roman" w:cs="Times New Roman"/>
              </w:rPr>
              <w:t>, February, 73-74 (2004)</w:t>
            </w:r>
          </w:p>
          <w:p w14:paraId="5C817020" w14:textId="77777777" w:rsidR="00F51902" w:rsidRDefault="00F51902" w:rsidP="006349CC">
            <w:pPr>
              <w:spacing w:before="40" w:after="4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1C8C68BE" w14:textId="77777777" w:rsidR="00F51902" w:rsidRDefault="00F51902">
      <w:pPr>
        <w:widowControl w:val="0"/>
        <w:spacing w:line="240" w:lineRule="auto"/>
        <w:jc w:val="both"/>
        <w:rPr>
          <w:rFonts w:ascii="宋体" w:eastAsia="宋体" w:hAnsi="宋体" w:cs="宋体"/>
          <w:sz w:val="24"/>
          <w:szCs w:val="24"/>
        </w:rPr>
      </w:pPr>
    </w:p>
    <w:sectPr w:rsidR="00F51902">
      <w:footerReference w:type="default" r:id="rId30"/>
      <w:pgSz w:w="11906" w:h="16838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4A3EE" w14:textId="77777777" w:rsidR="00C02F7E" w:rsidRDefault="00C02F7E">
      <w:pPr>
        <w:spacing w:line="240" w:lineRule="auto"/>
      </w:pPr>
      <w:r>
        <w:separator/>
      </w:r>
    </w:p>
  </w:endnote>
  <w:endnote w:type="continuationSeparator" w:id="0">
    <w:p w14:paraId="349F8F19" w14:textId="77777777" w:rsidR="00C02F7E" w:rsidRDefault="00C02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F427" w14:textId="77777777" w:rsidR="00F51902" w:rsidRDefault="00F51902">
    <w:pPr>
      <w:widowControl w:val="0"/>
      <w:tabs>
        <w:tab w:val="center" w:pos="4153"/>
        <w:tab w:val="right" w:pos="8306"/>
      </w:tabs>
      <w:spacing w:after="992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46E86" w14:textId="77777777" w:rsidR="00C02F7E" w:rsidRDefault="00C02F7E">
      <w:pPr>
        <w:spacing w:line="240" w:lineRule="auto"/>
      </w:pPr>
      <w:r>
        <w:separator/>
      </w:r>
    </w:p>
  </w:footnote>
  <w:footnote w:type="continuationSeparator" w:id="0">
    <w:p w14:paraId="6E4936A5" w14:textId="77777777" w:rsidR="00C02F7E" w:rsidRDefault="00C02F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BA6"/>
    <w:multiLevelType w:val="multilevel"/>
    <w:tmpl w:val="7E7CFC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468AF"/>
    <w:multiLevelType w:val="multilevel"/>
    <w:tmpl w:val="C02CD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BD0129"/>
    <w:multiLevelType w:val="multilevel"/>
    <w:tmpl w:val="7F846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3124F3"/>
    <w:multiLevelType w:val="multilevel"/>
    <w:tmpl w:val="7B18C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6C4A9C"/>
    <w:multiLevelType w:val="multilevel"/>
    <w:tmpl w:val="E918F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E53FFF"/>
    <w:multiLevelType w:val="multilevel"/>
    <w:tmpl w:val="ADC86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0816DA"/>
    <w:multiLevelType w:val="multilevel"/>
    <w:tmpl w:val="DA80F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BF48B2"/>
    <w:multiLevelType w:val="multilevel"/>
    <w:tmpl w:val="278ED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02"/>
    <w:rsid w:val="00020B7F"/>
    <w:rsid w:val="000D47DA"/>
    <w:rsid w:val="000E17D0"/>
    <w:rsid w:val="0040578C"/>
    <w:rsid w:val="004C5F39"/>
    <w:rsid w:val="0050317A"/>
    <w:rsid w:val="005953CA"/>
    <w:rsid w:val="005C0BCF"/>
    <w:rsid w:val="006349CC"/>
    <w:rsid w:val="007508B7"/>
    <w:rsid w:val="0075196F"/>
    <w:rsid w:val="007D0CED"/>
    <w:rsid w:val="008148BB"/>
    <w:rsid w:val="00977606"/>
    <w:rsid w:val="00A575FE"/>
    <w:rsid w:val="00AF579F"/>
    <w:rsid w:val="00B60737"/>
    <w:rsid w:val="00C02F7E"/>
    <w:rsid w:val="00CD43DF"/>
    <w:rsid w:val="00F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5C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PMingLiU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baruch.cuny.edu/jgatheral/" TargetMode="External"/><Relationship Id="rId13" Type="http://schemas.openxmlformats.org/officeDocument/2006/relationships/hyperlink" Target="http://faculty.baruch.cuny.edu/jgatheral/" TargetMode="External"/><Relationship Id="rId18" Type="http://schemas.openxmlformats.org/officeDocument/2006/relationships/hyperlink" Target="http://papers.ssrn.com/sol3/papers.cfm?abstract_id=1542077" TargetMode="External"/><Relationship Id="rId26" Type="http://schemas.openxmlformats.org/officeDocument/2006/relationships/hyperlink" Target="http://www2.warwick.ac.uk/fac/sci/statistics/staff/academic/hobso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sevier.com/locate/i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orldscinet.com/ijtaf/" TargetMode="External"/><Relationship Id="rId17" Type="http://schemas.openxmlformats.org/officeDocument/2006/relationships/hyperlink" Target="http://papers.ssrn.com/sol3/papers.cfm?abstract_id=1542077" TargetMode="External"/><Relationship Id="rId25" Type="http://schemas.openxmlformats.org/officeDocument/2006/relationships/hyperlink" Target="http://www.worldscinet.com/ijta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.purdue.edu/~couyang/" TargetMode="External"/><Relationship Id="rId20" Type="http://schemas.openxmlformats.org/officeDocument/2006/relationships/hyperlink" Target="http://www.tandf.co.uk/journals/rquf" TargetMode="External"/><Relationship Id="rId29" Type="http://schemas.openxmlformats.org/officeDocument/2006/relationships/hyperlink" Target="http://www.risk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scinet.com/ijtaf/" TargetMode="External"/><Relationship Id="rId24" Type="http://schemas.openxmlformats.org/officeDocument/2006/relationships/hyperlink" Target="http://www.elsevier.com/wps/find/journaldescription.cws_home/600301/descriptio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th.nyu.edu/~laurence/" TargetMode="External"/><Relationship Id="rId23" Type="http://schemas.openxmlformats.org/officeDocument/2006/relationships/hyperlink" Target="http://www.tandf.co.uk/journals/titles/1351847X.asp" TargetMode="External"/><Relationship Id="rId28" Type="http://schemas.openxmlformats.org/officeDocument/2006/relationships/hyperlink" Target="http://www.risk.net/" TargetMode="External"/><Relationship Id="rId10" Type="http://schemas.openxmlformats.org/officeDocument/2006/relationships/hyperlink" Target="http://papers.ssrn.com/sol3/papers.cfm?abstract_id=1663318" TargetMode="External"/><Relationship Id="rId19" Type="http://schemas.openxmlformats.org/officeDocument/2006/relationships/hyperlink" Target="http://www.wiley.com/bw/journal.asp?ref=0960-1627&amp;site=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pers.ssrn.com/sol3/papers.cfm?abstract_id=1663318" TargetMode="External"/><Relationship Id="rId14" Type="http://schemas.openxmlformats.org/officeDocument/2006/relationships/hyperlink" Target="http://www.math.northwestern.edu/people/facultyProfiles/elton.hsu.html" TargetMode="External"/><Relationship Id="rId22" Type="http://schemas.openxmlformats.org/officeDocument/2006/relationships/hyperlink" Target="http://www.elsevier.com/locate/ime" TargetMode="External"/><Relationship Id="rId27" Type="http://schemas.openxmlformats.org/officeDocument/2006/relationships/hyperlink" Target="http://www.tandf.co.uk/journals/titles/1350486X.as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5030-93C0-492A-A599-5043EBDE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llchen</dc:creator>
  <cp:lastModifiedBy>sxw_helper</cp:lastModifiedBy>
  <cp:revision>5</cp:revision>
  <dcterms:created xsi:type="dcterms:W3CDTF">2018-04-16T01:11:00Z</dcterms:created>
  <dcterms:modified xsi:type="dcterms:W3CDTF">2018-04-16T02:37:00Z</dcterms:modified>
</cp:coreProperties>
</file>