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w:p>
      <w:pPr>
        <w:spacing w:after="0"/>
        <w:jc w:val="center"/>
      </w:pPr>
      <w:r>
        <w:t/>
      </w:r>
      <w:r>
        <w:t xml:space="preserve">summary statistics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c>
          <w:tcPr>
            <w:tcW w:w="199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VarName</w:t>
            </w:r>
          </w:p>
        </w:tc>
        <w:tc>
          <w:tcPr>
            <w:tcW w:w="199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Obs</w:t>
            </w:r>
          </w:p>
        </w:tc>
        <w:tc>
          <w:tcPr>
            <w:tcW w:w="199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Mean</w:t>
            </w:r>
          </w:p>
        </w:tc>
        <w:tc>
          <w:tcPr>
            <w:tcW w:w="199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Median</w:t>
            </w:r>
          </w:p>
        </w:tc>
        <w:tc>
          <w:tcPr>
            <w:tcW w:w="199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SD</w:t>
            </w:r>
          </w:p>
        </w:tc>
        <w:tc>
          <w:tcPr>
            <w:tcW w:w="199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Min</w:t>
            </w:r>
          </w:p>
        </w:tc>
        <w:tc>
          <w:tcPr>
            <w:tcW w:w="199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Max</w:t>
            </w:r>
          </w:p>
        </w:tc>
      </w:tr>
      <w:tr>
        <w:tc>
          <w:tcPr>
            <w:tcW w:w="199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guarantee</w:t>
            </w:r>
          </w:p>
        </w:tc>
        <w:tc>
          <w:tcPr>
            <w:tcW w:w="199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6797</w:t>
            </w:r>
          </w:p>
        </w:tc>
        <w:tc>
          <w:tcPr>
            <w:tcW w:w="199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0.2317</w:t>
            </w:r>
          </w:p>
        </w:tc>
        <w:tc>
          <w:tcPr>
            <w:tcW w:w="199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0.0000</w:t>
            </w:r>
          </w:p>
        </w:tc>
        <w:tc>
          <w:tcPr>
            <w:tcW w:w="199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0.4220</w:t>
            </w:r>
          </w:p>
        </w:tc>
        <w:tc>
          <w:tcPr>
            <w:tcW w:w="199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0.0000</w:t>
            </w:r>
          </w:p>
        </w:tc>
        <w:tc>
          <w:tcPr>
            <w:tcW w:w="199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1.0000</w:t>
            </w:r>
          </w:p>
        </w:tc>
      </w:tr>
      <w:tr>
        <w:tc>
          <w:tcPr>
            <w:tcW w:w="1994" w:type="dxa"/>
            <w:vAlign w:val="center"/>
          </w:tcPr>
          <w:p>
            <w:pPr>
              <w:spacing w:after="0"/>
              <w:jc w:val="left"/>
            </w:pPr>
            <w:r>
              <w:t xml:space="preserve">ississuerrating_value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6797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2.4580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2.0000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0.9511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1.0000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4.0000</w:t>
            </w:r>
          </w:p>
        </w:tc>
      </w:tr>
      <w:tr>
        <w:tc>
          <w:tcPr>
            <w:tcW w:w="1994" w:type="dxa"/>
            <w:vAlign w:val="center"/>
          </w:tcPr>
          <w:p>
            <w:pPr>
              <w:spacing w:after="0"/>
              <w:jc w:val="left"/>
            </w:pPr>
            <w:r>
              <w:t xml:space="preserve">issbondrating_value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6797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2.7967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3.0000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0.8450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1.0000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4.0000</w:t>
            </w:r>
          </w:p>
        </w:tc>
      </w:tr>
      <w:tr>
        <w:tc>
          <w:tcPr>
            <w:tcW w:w="1994" w:type="dxa"/>
            <w:vAlign w:val="center"/>
          </w:tcPr>
          <w:p>
            <w:pPr>
              <w:spacing w:after="0"/>
              <w:jc w:val="left"/>
            </w:pPr>
            <w:r>
              <w:t xml:space="preserve">default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6797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0.0381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0.0000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0.1915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0.0000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1.0000</w:t>
            </w:r>
          </w:p>
        </w:tc>
      </w:tr>
      <w:tr>
        <w:tc>
          <w:tcPr>
            <w:tcW w:w="1994" w:type="dxa"/>
            <w:vAlign w:val="center"/>
          </w:tcPr>
          <w:p>
            <w:pPr>
              <w:spacing w:after="0"/>
              <w:jc w:val="left"/>
            </w:pPr>
            <w:r>
              <w:t xml:space="preserve">cs1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6797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2.8175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2.8780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1.2026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0.4437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5.4516</w:t>
            </w:r>
          </w:p>
        </w:tc>
      </w:tr>
      <w:tr>
        <w:tc>
          <w:tcPr>
            <w:tcW w:w="1994" w:type="dxa"/>
            <w:vAlign w:val="center"/>
          </w:tcPr>
          <w:p>
            <w:pPr>
              <w:spacing w:after="0"/>
              <w:jc w:val="left"/>
            </w:pPr>
            <w:r>
              <w:t xml:space="preserve">size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6797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23.9612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23.6927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1.4015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21.3898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28.2091</w:t>
            </w:r>
          </w:p>
        </w:tc>
      </w:tr>
      <w:tr>
        <w:tc>
          <w:tcPr>
            <w:tcW w:w="1994" w:type="dxa"/>
            <w:vAlign w:val="center"/>
          </w:tcPr>
          <w:p>
            <w:pPr>
              <w:spacing w:after="0"/>
              <w:jc w:val="left"/>
            </w:pPr>
            <w:r>
              <w:t xml:space="preserve">roe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6797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7.3754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5.0833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6.9547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-3.9024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35.6371</w:t>
            </w:r>
          </w:p>
        </w:tc>
      </w:tr>
      <w:tr>
        <w:tc>
          <w:tcPr>
            <w:tcW w:w="1994" w:type="dxa"/>
            <w:vAlign w:val="center"/>
          </w:tcPr>
          <w:p>
            <w:pPr>
              <w:spacing w:after="0"/>
              <w:jc w:val="left"/>
            </w:pPr>
            <w:r>
              <w:t xml:space="preserve">lev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6797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54.9010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57.2588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18.5338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12.2736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87.8312</w:t>
            </w:r>
          </w:p>
        </w:tc>
      </w:tr>
      <w:tr>
        <w:tc>
          <w:tcPr>
            <w:tcW w:w="1994" w:type="dxa"/>
            <w:vAlign w:val="center"/>
          </w:tcPr>
          <w:p>
            <w:pPr>
              <w:spacing w:after="0"/>
              <w:jc w:val="left"/>
            </w:pPr>
            <w:r>
              <w:t xml:space="preserve">assetliq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6797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56.8849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57.2505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25.9385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7.1185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99.6976</w:t>
            </w:r>
          </w:p>
        </w:tc>
      </w:tr>
      <w:tr>
        <w:tc>
          <w:tcPr>
            <w:tcW w:w="1994" w:type="dxa"/>
            <w:vAlign w:val="center"/>
          </w:tcPr>
          <w:p>
            <w:pPr>
              <w:spacing w:after="0"/>
              <w:jc w:val="left"/>
            </w:pPr>
            <w:r>
              <w:t xml:space="preserve">lialiq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6797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58.1785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59.3049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22.4944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9.9032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99.9197</w:t>
            </w:r>
          </w:p>
        </w:tc>
      </w:tr>
      <w:tr>
        <w:tc>
          <w:tcPr>
            <w:tcW w:w="1994" w:type="dxa"/>
            <w:vAlign w:val="center"/>
          </w:tcPr>
          <w:p>
            <w:pPr>
              <w:spacing w:after="0"/>
              <w:jc w:val="left"/>
            </w:pPr>
            <w:r>
              <w:t xml:space="preserve">isssoe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6797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0.7274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1.0000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0.4453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0.0000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1.0000</w:t>
            </w:r>
          </w:p>
        </w:tc>
      </w:tr>
      <w:tr>
        <w:tc>
          <w:tcPr>
            <w:tcW w:w="1994" w:type="dxa"/>
            <w:vAlign w:val="center"/>
          </w:tcPr>
          <w:p>
            <w:pPr>
              <w:spacing w:after="0"/>
              <w:jc w:val="left"/>
            </w:pPr>
            <w:r>
              <w:t xml:space="preserve">age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6797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14.4872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13.5684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7.1855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2.4366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35.3200</w:t>
            </w:r>
          </w:p>
        </w:tc>
      </w:tr>
      <w:tr>
        <w:tc>
          <w:tcPr>
            <w:tcW w:w="1994" w:type="dxa"/>
            <w:vAlign w:val="center"/>
          </w:tcPr>
          <w:p>
            <w:pPr>
              <w:spacing w:after="0"/>
              <w:jc w:val="left"/>
            </w:pPr>
            <w:r>
              <w:t xml:space="preserve">issamount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6797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20.6778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20.7233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0.7185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18.4207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22.5150</w:t>
            </w:r>
          </w:p>
        </w:tc>
      </w:tr>
      <w:tr>
        <w:tc>
          <w:tcPr>
            <w:tcW w:w="1994" w:type="dxa"/>
            <w:vAlign w:val="center"/>
          </w:tcPr>
          <w:p>
            <w:pPr>
              <w:spacing w:after="0"/>
              <w:jc w:val="left"/>
            </w:pPr>
            <w:r>
              <w:t xml:space="preserve">matuyear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6797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5.2141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5.0000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1.9065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1.0000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10.0000</w:t>
            </w:r>
          </w:p>
        </w:tc>
      </w:tr>
      <w:tr>
        <w:tc>
          <w:tcPr>
            <w:tcW w:w="1994" w:type="dxa"/>
            <w:vAlign w:val="center"/>
          </w:tcPr>
          <w:p>
            <w:pPr>
              <w:spacing w:after="0"/>
              <w:jc w:val="left"/>
            </w:pPr>
            <w:r>
              <w:t xml:space="preserve">bondtype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6797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0.5607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1.0000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0.4963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0.0000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1.0000</w:t>
            </w:r>
          </w:p>
        </w:tc>
      </w:tr>
      <w:tr>
        <w:tc>
          <w:tcPr>
            <w:tcW w:w="1994" w:type="dxa"/>
            <w:vAlign w:val="center"/>
          </w:tcPr>
          <w:p>
            <w:pPr>
              <w:spacing w:after="0"/>
              <w:jc w:val="left"/>
            </w:pPr>
            <w:r>
              <w:t xml:space="preserve">special_term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6797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0.8261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1.0000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0.3791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0.0000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1.0000</w:t>
            </w:r>
          </w:p>
        </w:tc>
      </w:tr>
      <w:tr>
        <w:tc>
          <w:tcPr>
            <w:tcW w:w="1994" w:type="dxa"/>
            <w:vAlign w:val="center"/>
          </w:tcPr>
          <w:p>
            <w:pPr>
              <w:spacing w:after="0"/>
              <w:jc w:val="left"/>
            </w:pPr>
            <w:r>
              <w:t xml:space="preserve">duallisted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6797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0.3902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0.0000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0.4878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0.0000</w:t>
            </w:r>
          </w:p>
        </w:tc>
        <w:tc>
          <w:tcPr>
            <w:tcW w:w="1994" w:type="dxa"/>
            <w:vAlign w:val="center"/>
          </w:tcPr>
          <w:p>
            <w:pPr>
              <w:spacing w:after="0"/>
              <w:jc w:val="right"/>
            </w:pPr>
            <w:r>
              <w:t xml:space="preserve">1.0000</w:t>
            </w:r>
          </w:p>
        </w:tc>
      </w:tr>
    </w:tbl>
    <w:p>
      <w:r>
        <w:t/>
      </w:r>
    </w:p>
    <w:sectPr>
      <w:pgSz w:w="16839" w:h="11907" w:orient="landscape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