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85EEC">
      <w:pPr>
        <w:spacing w:line="276" w:lineRule="auto"/>
        <w:rPr>
          <w:rFonts w:hint="eastAsia" w:ascii="仿宋" w:hAnsi="仿宋" w:eastAsia="仿宋" w:cs="Times New Roman"/>
          <w:szCs w:val="22"/>
          <w:lang w:val="en-US" w:eastAsia="zh-CN"/>
        </w:rPr>
      </w:pPr>
      <w:r>
        <w:rPr>
          <w:rFonts w:hint="eastAsia" w:ascii="仿宋" w:hAnsi="仿宋" w:eastAsia="仿宋" w:cs="Times New Roman"/>
          <w:szCs w:val="22"/>
          <w:lang w:val="en-US" w:eastAsia="zh-CN"/>
        </w:rPr>
        <w:t>说明文档</w:t>
      </w:r>
    </w:p>
    <w:p w14:paraId="04167BFB">
      <w:pPr>
        <w:numPr>
          <w:ilvl w:val="0"/>
          <w:numId w:val="1"/>
        </w:numPr>
        <w:spacing w:line="276" w:lineRule="auto"/>
        <w:rPr>
          <w:rFonts w:hint="eastAsia" w:ascii="仿宋" w:hAnsi="仿宋" w:eastAsia="仿宋" w:cs="Times New Roman"/>
          <w:szCs w:val="22"/>
          <w:lang w:val="en-US" w:eastAsia="zh-CN"/>
        </w:rPr>
      </w:pPr>
      <w:r>
        <w:rPr>
          <w:rFonts w:hint="eastAsia" w:ascii="仿宋" w:hAnsi="仿宋" w:eastAsia="仿宋" w:cs="Times New Roman"/>
          <w:szCs w:val="22"/>
          <w:lang w:val="en-US" w:eastAsia="zh-CN"/>
        </w:rPr>
        <w:t>文件说明</w:t>
      </w:r>
    </w:p>
    <w:p w14:paraId="2BBC09DD">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本论文使用的数据代码压缩包命名为“2024-01304+数据”，解压之后里面有“2024-00207+程序代码”、“2024-00207+日志文件”、“2024-00207+导出Figures”、“2024-00207+导出Tables”、“2024-00207+说明文档”、“生成文章图表的截图”6个部分。</w:t>
      </w:r>
    </w:p>
    <w:p w14:paraId="21770751">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（1）“2024-00207+程序代码”里面包括2个文件，分别是“结果汇总-正文”和“结果汇总-附录”文件：</w:t>
      </w:r>
    </w:p>
    <w:p w14:paraId="066720C1">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“结果汇总 - 正文”是正文中图和表格的运行文件，主要生成表1-表6、图1-图2的运行结果。</w:t>
      </w:r>
    </w:p>
    <w:p w14:paraId="362482F6">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“结果汇总 - 附录”是在线附录中图和表格的运行文件，主要生成表III 1-表VII 1、图V 3安慰剂检验的结果。</w:t>
      </w:r>
    </w:p>
    <w:p w14:paraId="2E8BD318">
      <w:pPr>
        <w:spacing w:line="276" w:lineRule="auto"/>
        <w:ind w:firstLine="420" w:firstLineChars="200"/>
        <w:rPr>
          <w:rFonts w:hint="default"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“2024-00207+日志文件”是本文程序和数据导出的运行结果，为SMCL格式。</w:t>
      </w:r>
    </w:p>
    <w:p w14:paraId="5BBF43A8">
      <w:pPr>
        <w:spacing w:line="276" w:lineRule="auto"/>
        <w:ind w:firstLine="420" w:firstLineChars="200"/>
        <w:rPr>
          <w:rFonts w:hint="default"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（4）“2024-01304+导出Figures”包括本文所有程序运行的图片结果，其中，“平行趋势all”是中文中图1的结果；“图2_eff”和“图2_pred”分别是正文图2（左）和图2（右）的运行结果。</w:t>
      </w:r>
    </w:p>
    <w:p w14:paraId="273DB8E9">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（5）“2024-01304+导出Tables”包括本文所有表格的结果，其中，“summary.docx”是表III 2主要变量描述性统计的结果；“表1陆海新通道与乡镇经济增长水平”-“表6对外贸易”分别是中文表2-表6的运行结果；“表III灯光代表性”-“表VII1异质性分析结果”是分别是附录中表III 1-表表VII 1的运行结果。</w:t>
      </w:r>
    </w:p>
    <w:p w14:paraId="3BBFBD0A">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需要说明的是，与正文中结果相比，图1和图2在颜色和实虚线等方面做了细节调整。“图V3安慰剂检验”是随机抽样运行500次的结果，同样在颜色和实虚线等细节方面做了细节调整。</w:t>
      </w:r>
    </w:p>
    <w:p w14:paraId="5E9F3A5C">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（6）“2024-01304+说明文档说明文档”即是本说明文档。</w:t>
      </w:r>
    </w:p>
    <w:p w14:paraId="6EB0CB70">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（7）“生成文章图表的截图”为按文章正文和附录顺序生成的结果截图。</w:t>
      </w:r>
    </w:p>
    <w:p w14:paraId="7B76A625">
      <w:pPr>
        <w:numPr>
          <w:ilvl w:val="0"/>
          <w:numId w:val="0"/>
        </w:numPr>
        <w:spacing w:line="276" w:lineRule="auto"/>
        <w:rPr>
          <w:rFonts w:hint="default" w:ascii="仿宋" w:hAnsi="仿宋" w:eastAsia="仿宋" w:cs="Times New Roman"/>
          <w:szCs w:val="22"/>
          <w:lang w:val="en-US" w:eastAsia="zh-CN"/>
        </w:rPr>
      </w:pPr>
    </w:p>
    <w:p w14:paraId="247B5A30">
      <w:pPr>
        <w:spacing w:line="276" w:lineRule="auto"/>
        <w:rPr>
          <w:rFonts w:hint="eastAsia" w:ascii="仿宋" w:hAnsi="仿宋" w:eastAsia="仿宋" w:cs="Times New Roman"/>
          <w:szCs w:val="22"/>
        </w:rPr>
      </w:pPr>
      <w:r>
        <w:rPr>
          <w:rFonts w:hint="eastAsia" w:ascii="仿宋" w:hAnsi="仿宋" w:eastAsia="仿宋" w:cs="Times New Roman"/>
          <w:szCs w:val="22"/>
        </w:rPr>
        <w:t>（二）数据来源</w:t>
      </w:r>
    </w:p>
    <w:p w14:paraId="5C1895D3">
      <w:pPr>
        <w:spacing w:line="276" w:lineRule="auto"/>
        <w:ind w:firstLine="420" w:firstLineChars="200"/>
        <w:rPr>
          <w:rFonts w:hint="eastAsia" w:ascii="仿宋" w:hAnsi="仿宋" w:eastAsia="仿宋" w:cs="Times New Roman"/>
          <w:color w:val="000000"/>
          <w:szCs w:val="22"/>
        </w:rPr>
      </w:pPr>
      <w:r>
        <w:rPr>
          <w:rFonts w:hint="eastAsia" w:ascii="仿宋" w:hAnsi="仿宋" w:eastAsia="仿宋" w:cs="Times New Roman"/>
          <w:color w:val="000000"/>
          <w:szCs w:val="22"/>
          <w:lang w:val="en-US" w:eastAsia="zh-CN"/>
        </w:rPr>
        <w:t>由于本文使用数据来源于多个层面，为方便读者理解，故按照城市层面、乡镇层面、城市对层面、省份-国家对和港口层面逐项进行展示</w:t>
      </w:r>
      <w:r>
        <w:rPr>
          <w:rFonts w:ascii="仿宋" w:hAnsi="仿宋" w:eastAsia="仿宋" w:cs="Times New Roman"/>
          <w:color w:val="000000"/>
          <w:szCs w:val="22"/>
        </w:rPr>
        <w:t>：</w:t>
      </w:r>
    </w:p>
    <w:p w14:paraId="7D9EB255">
      <w:pPr>
        <w:bidi w:val="0"/>
        <w:ind w:firstLine="420" w:firstLineChars="200"/>
        <w:rPr>
          <w:rFonts w:hint="eastAsia" w:ascii="Times New Roman" w:hAnsi="Times New Roman" w:eastAsia="仿宋" w:cs="Times New Roman"/>
          <w:szCs w:val="21"/>
          <w:highlight w:val="yellow"/>
          <w:lang w:val="en-US" w:eastAsia="zh-CN" w:bidi="ar"/>
        </w:rPr>
      </w:pPr>
      <w:r>
        <w:rPr>
          <w:rFonts w:hint="default" w:ascii="Times New Roman" w:hAnsi="Times New Roman" w:eastAsia="仿宋" w:cs="Times New Roman"/>
          <w:szCs w:val="21"/>
          <w:highlight w:val="yellow"/>
          <w:lang w:bidi="ar"/>
        </w:rPr>
        <w:t>一是</w:t>
      </w:r>
      <w:r>
        <w:rPr>
          <w:rFonts w:hint="eastAsia" w:ascii="Times New Roman" w:hAnsi="Times New Roman" w:eastAsia="仿宋" w:cs="Times New Roman"/>
          <w:szCs w:val="21"/>
          <w:highlight w:val="yellow"/>
          <w:lang w:val="en-US" w:eastAsia="zh-CN" w:bidi="ar"/>
        </w:rPr>
        <w:t>城市层面的数据：</w:t>
      </w:r>
    </w:p>
    <w:p w14:paraId="041514DC">
      <w:pPr>
        <w:bidi w:val="0"/>
        <w:ind w:firstLine="420" w:firstLineChars="200"/>
        <w:rPr>
          <w:rFonts w:hint="eastAsia" w:ascii="Times New Roman" w:hAnsi="Times New Roman" w:eastAsia="仿宋" w:cs="Times New Roman"/>
          <w:szCs w:val="21"/>
          <w:lang w:val="en-US" w:eastAsia="zh-CN" w:bidi="ar"/>
        </w:rPr>
      </w:pPr>
      <w:r>
        <w:rPr>
          <w:rFonts w:hint="eastAsia" w:ascii="Times New Roman" w:hAnsi="Times New Roman" w:eastAsia="仿宋" w:cs="Times New Roman"/>
          <w:szCs w:val="21"/>
          <w:lang w:val="en-US" w:eastAsia="zh-CN" w:bidi="ar"/>
        </w:rPr>
        <w:t>（1）核心解释变量——</w:t>
      </w:r>
      <w:r>
        <w:rPr>
          <w:rFonts w:hint="default" w:ascii="Times New Roman" w:hAnsi="Times New Roman" w:eastAsia="仿宋" w:cs="Times New Roman"/>
          <w:szCs w:val="21"/>
          <w:lang w:bidi="ar"/>
        </w:rPr>
        <w:t>是否为西部陆海新通道的站点城市。</w:t>
      </w:r>
      <w:r>
        <w:rPr>
          <w:rFonts w:hint="eastAsia" w:ascii="Times New Roman" w:hAnsi="Times New Roman" w:eastAsia="仿宋" w:cs="Times New Roman"/>
          <w:szCs w:val="21"/>
          <w:lang w:val="en-US" w:eastAsia="zh-CN" w:bidi="ar"/>
        </w:rPr>
        <w:t>即</w:t>
      </w:r>
      <w:r>
        <w:rPr>
          <w:rFonts w:hint="default" w:ascii="Times New Roman" w:hAnsi="Times New Roman" w:eastAsia="仿宋" w:cs="Times New Roman"/>
          <w:szCs w:val="21"/>
          <w:lang w:bidi="ar"/>
        </w:rPr>
        <w:t>重庆、四川、云南、贵州和广西</w:t>
      </w:r>
      <w:r>
        <w:rPr>
          <w:rFonts w:hint="eastAsia" w:ascii="Times New Roman" w:hAnsi="Times New Roman" w:eastAsia="仿宋" w:cs="Times New Roman"/>
          <w:szCs w:val="21"/>
          <w:lang w:val="en-US" w:eastAsia="zh-CN" w:bidi="ar"/>
        </w:rPr>
        <w:t>的城市是否</w:t>
      </w:r>
      <w:r>
        <w:rPr>
          <w:rFonts w:hint="default" w:ascii="Times New Roman" w:hAnsi="Times New Roman" w:eastAsia="仿宋" w:cs="Times New Roman"/>
          <w:szCs w:val="21"/>
          <w:lang w:bidi="ar"/>
        </w:rPr>
        <w:t>开通海铁联运站点的城市，</w:t>
      </w:r>
      <w:r>
        <w:rPr>
          <w:rFonts w:hint="eastAsia" w:ascii="Times New Roman" w:hAnsi="Times New Roman" w:eastAsia="仿宋" w:cs="Times New Roman"/>
          <w:szCs w:val="21"/>
          <w:lang w:val="en-US" w:eastAsia="zh-CN" w:bidi="ar"/>
        </w:rPr>
        <w:t>开通为1，否则为0</w:t>
      </w:r>
      <w:r>
        <w:rPr>
          <w:rFonts w:hint="default" w:ascii="Times New Roman" w:hAnsi="Times New Roman" w:eastAsia="仿宋" w:cs="Times New Roman"/>
          <w:szCs w:val="21"/>
          <w:lang w:bidi="ar"/>
        </w:rPr>
        <w:t>。</w:t>
      </w:r>
      <w:r>
        <w:rPr>
          <w:rFonts w:hint="eastAsia" w:ascii="Times New Roman" w:hAnsi="Times New Roman" w:eastAsia="仿宋" w:cs="Times New Roman"/>
          <w:szCs w:val="21"/>
          <w:lang w:val="en-US" w:eastAsia="zh-CN" w:bidi="ar"/>
        </w:rPr>
        <w:t>该数据由作者从西部陆海新通道门户网手工整理；</w:t>
      </w:r>
    </w:p>
    <w:p w14:paraId="2A13E5A4">
      <w:pPr>
        <w:numPr>
          <w:ilvl w:val="0"/>
          <w:numId w:val="2"/>
        </w:numPr>
        <w:bidi w:val="0"/>
        <w:ind w:firstLine="420" w:firstLineChars="200"/>
        <w:rPr>
          <w:rFonts w:hint="eastAsia" w:ascii="Times New Roman" w:hAnsi="Times New Roman" w:eastAsia="仿宋" w:cs="Times New Roman"/>
          <w:szCs w:val="21"/>
          <w:lang w:val="en-US" w:eastAsia="zh-CN" w:bidi="ar"/>
        </w:rPr>
      </w:pPr>
      <w:r>
        <w:rPr>
          <w:rFonts w:hint="eastAsia" w:ascii="Times New Roman" w:hAnsi="Times New Roman" w:eastAsia="仿宋" w:cs="Times New Roman"/>
          <w:szCs w:val="21"/>
          <w:lang w:val="en-US" w:eastAsia="zh-CN" w:bidi="ar"/>
        </w:rPr>
        <w:t>城市层面的前定控制变量——财政收入占GDP比重、二产产值占GDP比重、经济发展水平、经济增长率、是否开通高铁站、行政区域面积以及距北部湾港口的距离。其中，是否开通高铁站来源于12306官网，距北部湾港口的距离由作者计算。其他控制变量都来源于《城市统计年鉴》，并由各省统计年鉴手工补齐；</w:t>
      </w:r>
    </w:p>
    <w:p w14:paraId="0B05A2B0">
      <w:pPr>
        <w:numPr>
          <w:ilvl w:val="0"/>
          <w:numId w:val="2"/>
        </w:numPr>
        <w:bidi w:val="0"/>
        <w:ind w:firstLine="420" w:firstLineChars="200"/>
        <w:rPr>
          <w:rFonts w:hint="default" w:ascii="Times New Roman" w:hAnsi="Times New Roman" w:eastAsia="仿宋" w:cs="Times New Roman"/>
          <w:szCs w:val="21"/>
          <w:lang w:val="en-US" w:eastAsia="zh-CN" w:bidi="ar"/>
        </w:rPr>
      </w:pPr>
      <w:r>
        <w:rPr>
          <w:rFonts w:hint="eastAsia" w:ascii="Times New Roman" w:hAnsi="Times New Roman" w:eastAsia="仿宋" w:cs="Times New Roman"/>
          <w:szCs w:val="21"/>
          <w:lang w:val="en-US" w:eastAsia="zh-CN" w:bidi="ar"/>
        </w:rPr>
        <w:t>机制变量——城市在陆海新通道背景下提及行政一体化的词频。该数据使用大语言模型和文本分析相结合的方式整理，原始数据来源于各年政府工作报告。由于自治州政府工作报告缺失，样本量有所损失；</w:t>
      </w:r>
    </w:p>
    <w:p w14:paraId="59BF16A0">
      <w:pPr>
        <w:numPr>
          <w:ilvl w:val="0"/>
          <w:numId w:val="2"/>
        </w:numPr>
        <w:bidi w:val="0"/>
        <w:ind w:firstLine="420" w:firstLineChars="200"/>
        <w:rPr>
          <w:rFonts w:hint="default" w:ascii="Times New Roman" w:hAnsi="Times New Roman" w:eastAsia="仿宋" w:cs="Times New Roman"/>
          <w:szCs w:val="21"/>
          <w:lang w:val="en-US" w:eastAsia="zh-CN" w:bidi="ar"/>
        </w:rPr>
      </w:pPr>
      <w:r>
        <w:rPr>
          <w:rFonts w:hint="eastAsia" w:ascii="Times New Roman" w:hAnsi="Times New Roman" w:eastAsia="仿宋" w:cs="Times New Roman"/>
          <w:szCs w:val="21"/>
          <w:lang w:val="en-US" w:eastAsia="zh-CN" w:bidi="ar"/>
        </w:rPr>
        <w:t>机制变量——市场分割指数。作者</w:t>
      </w:r>
      <w:r>
        <w:rPr>
          <w:rFonts w:hint="default" w:ascii="Times New Roman" w:hAnsi="Times New Roman" w:eastAsia="仿宋" w:cs="Times New Roman"/>
          <w:szCs w:val="21"/>
          <w:lang w:val="en-US" w:eastAsia="zh-CN" w:bidi="ar"/>
        </w:rPr>
        <w:t>使用相对价格法</w:t>
      </w:r>
      <w:r>
        <w:rPr>
          <w:rFonts w:hint="eastAsia" w:ascii="Times New Roman" w:hAnsi="Times New Roman" w:eastAsia="仿宋" w:cs="Times New Roman"/>
          <w:szCs w:val="21"/>
          <w:lang w:val="en-US" w:eastAsia="zh-CN" w:bidi="ar"/>
        </w:rPr>
        <w:t>和</w:t>
      </w:r>
      <w:r>
        <w:rPr>
          <w:rFonts w:hint="default" w:ascii="Times New Roman" w:hAnsi="Times New Roman" w:eastAsia="仿宋" w:cs="Times New Roman"/>
          <w:szCs w:val="21"/>
          <w:lang w:val="en-US" w:eastAsia="zh-CN" w:bidi="ar"/>
        </w:rPr>
        <w:t>商品价格指数测算西南五省区城市之间的产品一体化程度。</w:t>
      </w:r>
      <w:r>
        <w:rPr>
          <w:rFonts w:hint="eastAsia" w:ascii="Times New Roman" w:hAnsi="Times New Roman" w:eastAsia="仿宋" w:cs="Times New Roman"/>
          <w:szCs w:val="21"/>
          <w:lang w:val="en-US" w:eastAsia="zh-CN" w:bidi="ar"/>
        </w:rPr>
        <w:t>数据来源于各城市的统计年鉴和国民经济和社会发展统计公报。</w:t>
      </w:r>
    </w:p>
    <w:p w14:paraId="54F5355D">
      <w:pPr>
        <w:numPr>
          <w:ilvl w:val="0"/>
          <w:numId w:val="2"/>
        </w:numPr>
        <w:bidi w:val="0"/>
        <w:ind w:firstLine="420" w:firstLineChars="200"/>
        <w:rPr>
          <w:rFonts w:hint="default" w:ascii="Times New Roman" w:hAnsi="Times New Roman" w:eastAsia="仿宋" w:cs="Times New Roman"/>
          <w:szCs w:val="21"/>
          <w:lang w:val="en-US" w:eastAsia="zh-CN" w:bidi="ar"/>
        </w:rPr>
      </w:pPr>
      <w:r>
        <w:rPr>
          <w:rFonts w:hint="eastAsia" w:ascii="Times New Roman" w:hAnsi="Times New Roman" w:eastAsia="仿宋" w:cs="Times New Roman"/>
          <w:szCs w:val="21"/>
          <w:lang w:val="en-US" w:eastAsia="zh-CN" w:bidi="ar"/>
        </w:rPr>
        <w:t>机制变量——交通基础设施建设。</w:t>
      </w:r>
      <w:r>
        <w:rPr>
          <w:rFonts w:hint="default" w:ascii="Times New Roman" w:hAnsi="Times New Roman" w:eastAsia="仿宋" w:cs="Times New Roman"/>
          <w:szCs w:val="21"/>
          <w:lang w:val="en-US" w:eastAsia="zh-CN" w:bidi="ar"/>
        </w:rPr>
        <w:t>五省区各个城市货运火车站、陆地货运站、物流和仓储中心的数量</w:t>
      </w:r>
      <w:r>
        <w:rPr>
          <w:rFonts w:hint="eastAsia" w:ascii="Times New Roman" w:hAnsi="Times New Roman" w:eastAsia="仿宋" w:cs="Times New Roman"/>
          <w:szCs w:val="21"/>
          <w:lang w:val="en-US" w:eastAsia="zh-CN" w:bidi="ar"/>
        </w:rPr>
        <w:t>，该数据来源于</w:t>
      </w:r>
      <w:r>
        <w:rPr>
          <w:rFonts w:hint="default" w:ascii="Times New Roman" w:hAnsi="Times New Roman" w:eastAsia="仿宋" w:cs="Times New Roman"/>
          <w:szCs w:val="21"/>
          <w:lang w:val="en-US" w:eastAsia="zh-CN" w:bidi="ar"/>
        </w:rPr>
        <w:t>高德地图兴趣点数据（</w:t>
      </w:r>
      <w:r>
        <w:rPr>
          <w:rFonts w:hint="eastAsia" w:ascii="Times New Roman" w:hAnsi="Times New Roman" w:eastAsia="仿宋" w:cs="Times New Roman"/>
          <w:szCs w:val="21"/>
          <w:lang w:val="en-US" w:eastAsia="zh-CN" w:bidi="ar"/>
        </w:rPr>
        <w:t>p</w:t>
      </w:r>
      <w:r>
        <w:rPr>
          <w:rFonts w:hint="default" w:ascii="Times New Roman" w:hAnsi="Times New Roman" w:eastAsia="仿宋" w:cs="Times New Roman"/>
          <w:szCs w:val="21"/>
          <w:lang w:val="en-US" w:eastAsia="zh-CN" w:bidi="ar"/>
        </w:rPr>
        <w:t>oint of</w:t>
      </w:r>
      <w:r>
        <w:rPr>
          <w:rFonts w:hint="eastAsia" w:ascii="Times New Roman" w:hAnsi="Times New Roman" w:eastAsia="仿宋" w:cs="Times New Roman"/>
          <w:szCs w:val="21"/>
          <w:lang w:val="en-US" w:eastAsia="zh-CN" w:bidi="ar"/>
        </w:rPr>
        <w:t xml:space="preserve"> i</w:t>
      </w:r>
      <w:r>
        <w:rPr>
          <w:rFonts w:hint="default" w:ascii="Times New Roman" w:hAnsi="Times New Roman" w:eastAsia="仿宋" w:cs="Times New Roman"/>
          <w:szCs w:val="21"/>
          <w:lang w:val="en-US" w:eastAsia="zh-CN" w:bidi="ar"/>
        </w:rPr>
        <w:t>nterest，POI）</w:t>
      </w:r>
      <w:r>
        <w:rPr>
          <w:rFonts w:hint="eastAsia" w:ascii="Times New Roman" w:hAnsi="Times New Roman" w:eastAsia="仿宋" w:cs="Times New Roman"/>
          <w:szCs w:val="21"/>
          <w:lang w:val="en-US" w:eastAsia="zh-CN" w:bidi="ar"/>
        </w:rPr>
        <w:t>。</w:t>
      </w:r>
    </w:p>
    <w:p w14:paraId="7989067F">
      <w:pPr>
        <w:numPr>
          <w:ilvl w:val="0"/>
          <w:numId w:val="2"/>
        </w:numPr>
        <w:bidi w:val="0"/>
        <w:ind w:firstLine="420" w:firstLineChars="200"/>
        <w:rPr>
          <w:rFonts w:hint="default" w:ascii="Times New Roman" w:hAnsi="Times New Roman" w:eastAsia="仿宋" w:cs="Times New Roman"/>
          <w:szCs w:val="21"/>
          <w:lang w:val="en-US" w:eastAsia="zh-CN" w:bidi="ar"/>
        </w:rPr>
      </w:pPr>
      <w:r>
        <w:rPr>
          <w:rFonts w:hint="eastAsia" w:ascii="Times New Roman" w:hAnsi="Times New Roman" w:eastAsia="仿宋" w:cs="Times New Roman"/>
          <w:szCs w:val="21"/>
          <w:lang w:val="en-US" w:eastAsia="zh-CN" w:bidi="ar"/>
        </w:rPr>
        <w:t>机制变量——与“长江经济带”和“中欧班列”的联系程度，使用每个城市政府工作报告提取城市在陆海新通道背景下提及“长江经济带”和“中欧班列”的频次。</w:t>
      </w:r>
    </w:p>
    <w:p w14:paraId="490749DD">
      <w:pPr>
        <w:bidi w:val="0"/>
        <w:ind w:firstLine="420" w:firstLineChars="200"/>
        <w:rPr>
          <w:rFonts w:hint="eastAsia" w:ascii="Times New Roman" w:hAnsi="Times New Roman" w:eastAsia="仿宋" w:cs="Times New Roman"/>
          <w:szCs w:val="21"/>
          <w:highlight w:val="yellow"/>
          <w:lang w:val="en-US" w:eastAsia="zh-CN" w:bidi="ar"/>
        </w:rPr>
      </w:pPr>
    </w:p>
    <w:p w14:paraId="3928684E">
      <w:pPr>
        <w:bidi w:val="0"/>
        <w:ind w:firstLine="420" w:firstLineChars="200"/>
        <w:rPr>
          <w:rFonts w:hint="default" w:ascii="Times New Roman" w:hAnsi="Times New Roman" w:eastAsia="仿宋" w:cs="Times New Roman"/>
          <w:szCs w:val="21"/>
          <w:lang w:val="en-US" w:eastAsia="zh-CN" w:bidi="ar"/>
        </w:rPr>
      </w:pPr>
      <w:r>
        <w:rPr>
          <w:rFonts w:hint="eastAsia" w:ascii="Times New Roman" w:hAnsi="Times New Roman" w:eastAsia="仿宋" w:cs="Times New Roman"/>
          <w:szCs w:val="21"/>
          <w:highlight w:val="yellow"/>
          <w:lang w:val="en-US" w:eastAsia="zh-CN" w:bidi="ar"/>
        </w:rPr>
        <w:t>二是乡镇层面的数据：</w:t>
      </w:r>
    </w:p>
    <w:p w14:paraId="6175266A">
      <w:pPr>
        <w:numPr>
          <w:ilvl w:val="0"/>
          <w:numId w:val="3"/>
        </w:numPr>
        <w:bidi w:val="0"/>
        <w:ind w:firstLine="420" w:firstLineChars="200"/>
        <w:rPr>
          <w:rFonts w:hint="default" w:ascii="Times New Roman" w:hAnsi="Times New Roman" w:eastAsia="仿宋" w:cs="Times New Roman"/>
          <w:szCs w:val="21"/>
          <w:lang w:bidi="ar"/>
        </w:rPr>
      </w:pPr>
      <w:r>
        <w:rPr>
          <w:rFonts w:hint="default" w:ascii="Times New Roman" w:hAnsi="Times New Roman" w:eastAsia="仿宋" w:cs="Times New Roman"/>
          <w:szCs w:val="21"/>
          <w:lang w:bidi="ar"/>
        </w:rPr>
        <w:t>被解释变量</w:t>
      </w:r>
      <w:r>
        <w:rPr>
          <w:rFonts w:hint="eastAsia" w:ascii="Times New Roman" w:hAnsi="Times New Roman" w:eastAsia="仿宋" w:cs="Times New Roman"/>
          <w:szCs w:val="21"/>
          <w:lang w:eastAsia="zh-CN" w:bidi="ar"/>
        </w:rPr>
        <w:t>——</w:t>
      </w:r>
      <w:r>
        <w:rPr>
          <w:rFonts w:hint="default" w:ascii="Times New Roman" w:hAnsi="Times New Roman" w:eastAsia="仿宋" w:cs="Times New Roman"/>
          <w:szCs w:val="21"/>
          <w:lang w:bidi="ar"/>
        </w:rPr>
        <w:t>乡镇层面平均灯光亮度数据。本文使用</w:t>
      </w:r>
      <w:r>
        <w:rPr>
          <w:rFonts w:hint="default" w:ascii="Times New Roman" w:hAnsi="Times New Roman" w:eastAsia="仿宋" w:cs="Times New Roman"/>
          <w:szCs w:val="21"/>
          <w:lang w:val="en-US" w:eastAsia="zh-CN" w:bidi="ar"/>
        </w:rPr>
        <w:t>Elvidge et al.（2022）合成的年度NPP/VIIRS数据</w:t>
      </w:r>
      <w:r>
        <w:rPr>
          <w:rFonts w:hint="default" w:ascii="Times New Roman" w:hAnsi="Times New Roman" w:eastAsia="仿宋" w:cs="Times New Roman"/>
          <w:szCs w:val="21"/>
          <w:lang w:bidi="ar"/>
        </w:rPr>
        <w:t>，</w:t>
      </w:r>
      <w:r>
        <w:rPr>
          <w:rFonts w:hint="default" w:ascii="Times New Roman" w:hAnsi="Times New Roman" w:eastAsia="仿宋" w:cs="Times New Roman"/>
          <w:szCs w:val="21"/>
          <w:lang w:val="en-US" w:eastAsia="zh-CN" w:bidi="ar"/>
        </w:rPr>
        <w:t>原始数据</w:t>
      </w:r>
      <w:r>
        <w:rPr>
          <w:rFonts w:hint="default" w:ascii="Times New Roman" w:hAnsi="Times New Roman" w:eastAsia="仿宋" w:cs="Times New Roman"/>
          <w:szCs w:val="21"/>
          <w:lang w:bidi="ar"/>
        </w:rPr>
        <w:t>来自美国航空航天局（NASA）和美国国家海洋和大气管理局（NOAA），该数据收集了2012年以来的全球夜间灯光微光图像。</w:t>
      </w:r>
      <w:r>
        <w:rPr>
          <w:rFonts w:hint="eastAsia" w:ascii="Times New Roman" w:hAnsi="Times New Roman" w:eastAsia="仿宋" w:cs="Times New Roman"/>
          <w:szCs w:val="21"/>
          <w:lang w:val="en-US" w:eastAsia="zh-CN" w:bidi="ar"/>
        </w:rPr>
        <w:t>我们</w:t>
      </w:r>
      <w:r>
        <w:rPr>
          <w:rFonts w:hint="default" w:ascii="Times New Roman" w:hAnsi="Times New Roman" w:eastAsia="仿宋" w:cs="Times New Roman"/>
          <w:szCs w:val="21"/>
          <w:lang w:bidi="ar"/>
        </w:rPr>
        <w:t>计算上述五省区乡镇逐年的平均灯光亮度，对平均灯光亮度取对数以衡量地区经济增长水平。</w:t>
      </w:r>
    </w:p>
    <w:p w14:paraId="1E88D3CB">
      <w:pPr>
        <w:numPr>
          <w:ilvl w:val="0"/>
          <w:numId w:val="3"/>
        </w:numPr>
        <w:bidi w:val="0"/>
        <w:ind w:firstLine="420" w:firstLineChars="200"/>
        <w:rPr>
          <w:rFonts w:hint="default" w:ascii="Times New Roman" w:hAnsi="Times New Roman" w:eastAsia="仿宋" w:cs="Times New Roman"/>
          <w:szCs w:val="21"/>
          <w:lang w:val="en-US" w:bidi="ar"/>
        </w:rPr>
      </w:pPr>
      <w:r>
        <w:rPr>
          <w:rFonts w:hint="eastAsia" w:ascii="Times New Roman" w:hAnsi="Times New Roman" w:eastAsia="仿宋" w:cs="Times New Roman"/>
          <w:szCs w:val="21"/>
          <w:lang w:val="en-US" w:eastAsia="zh-CN" w:bidi="ar"/>
        </w:rPr>
        <w:t>机制变量——乡镇层面企业进入：</w:t>
      </w:r>
      <w:r>
        <w:rPr>
          <w:rFonts w:hint="default" w:ascii="Times New Roman" w:hAnsi="Times New Roman" w:eastAsia="仿宋" w:cs="Times New Roman"/>
          <w:szCs w:val="21"/>
          <w:lang w:val="en-US" w:eastAsia="zh-CN" w:bidi="ar"/>
        </w:rPr>
        <w:t>①</w:t>
      </w:r>
      <w:r>
        <w:rPr>
          <w:rFonts w:hint="eastAsia" w:ascii="Times New Roman" w:hAnsi="Times New Roman" w:eastAsia="仿宋" w:cs="Times New Roman"/>
          <w:szCs w:val="21"/>
          <w:lang w:val="en-US" w:eastAsia="zh-CN" w:bidi="ar"/>
        </w:rPr>
        <w:t>相关行业企业进入的增量和存量取对数；</w:t>
      </w:r>
      <w:r>
        <w:rPr>
          <w:rFonts w:hint="default" w:ascii="Times New Roman" w:hAnsi="Times New Roman" w:eastAsia="仿宋" w:cs="Times New Roman"/>
          <w:szCs w:val="21"/>
          <w:lang w:val="en-US" w:eastAsia="zh-CN" w:bidi="ar"/>
        </w:rPr>
        <w:t>②根据三类行业代码提取贸易代理与经济相关企业</w:t>
      </w:r>
      <w:r>
        <w:rPr>
          <w:rFonts w:hint="eastAsia" w:ascii="Times New Roman" w:hAnsi="Times New Roman" w:eastAsia="仿宋" w:cs="Times New Roman"/>
          <w:szCs w:val="21"/>
          <w:lang w:val="en-US" w:eastAsia="zh-CN" w:bidi="ar"/>
        </w:rPr>
        <w:t>，加1再取对数；</w:t>
      </w:r>
      <w:r>
        <w:rPr>
          <w:rFonts w:hint="default" w:ascii="Times New Roman" w:hAnsi="Times New Roman" w:eastAsia="仿宋" w:cs="Times New Roman"/>
          <w:szCs w:val="21"/>
          <w:lang w:val="en-US" w:eastAsia="zh-CN" w:bidi="ar"/>
        </w:rPr>
        <w:t>③根据企业的营业范围和企业名是否包含“西部陆海新通道”，提取直接服务西部陆海新通道建设的企业</w:t>
      </w:r>
      <w:r>
        <w:rPr>
          <w:rFonts w:hint="eastAsia" w:ascii="Times New Roman" w:hAnsi="Times New Roman" w:eastAsia="仿宋" w:cs="Times New Roman"/>
          <w:szCs w:val="21"/>
          <w:lang w:val="en-US" w:eastAsia="zh-CN" w:bidi="ar"/>
        </w:rPr>
        <w:t>。加1再取对数；④是否外资企业进入，根据投资来源识别了进入站点城市的企业是否为外商投资，当投资来源于国外及中国港、澳、台地区时即为外商直接投资。上述数据来源于工商企业注册数据库。</w:t>
      </w:r>
    </w:p>
    <w:p w14:paraId="5C04E979">
      <w:pPr>
        <w:numPr>
          <w:ilvl w:val="0"/>
          <w:numId w:val="0"/>
        </w:numPr>
        <w:bidi w:val="0"/>
        <w:rPr>
          <w:rFonts w:hint="default" w:ascii="Times New Roman" w:hAnsi="Times New Roman" w:eastAsia="仿宋" w:cs="Times New Roman"/>
          <w:szCs w:val="21"/>
          <w:lang w:val="en-US" w:bidi="ar"/>
        </w:rPr>
      </w:pPr>
    </w:p>
    <w:p w14:paraId="4659BC65">
      <w:pPr>
        <w:numPr>
          <w:ilvl w:val="0"/>
          <w:numId w:val="0"/>
        </w:numPr>
        <w:tabs>
          <w:tab w:val="left" w:pos="1080"/>
        </w:tabs>
        <w:bidi w:val="0"/>
        <w:ind w:firstLine="210" w:firstLineChars="100"/>
        <w:rPr>
          <w:rFonts w:hint="eastAsia" w:ascii="Times New Roman" w:hAnsi="Times New Roman" w:eastAsia="仿宋" w:cs="Times New Roman"/>
          <w:szCs w:val="21"/>
          <w:highlight w:val="yellow"/>
          <w:lang w:val="en-US" w:eastAsia="zh-CN" w:bidi="ar"/>
        </w:rPr>
      </w:pPr>
      <w:r>
        <w:rPr>
          <w:rFonts w:hint="eastAsia" w:ascii="Times New Roman" w:hAnsi="Times New Roman" w:eastAsia="仿宋" w:cs="Times New Roman"/>
          <w:szCs w:val="21"/>
          <w:highlight w:val="yellow"/>
          <w:lang w:val="en-US" w:eastAsia="zh-CN" w:bidi="ar"/>
        </w:rPr>
        <w:t>三是城市对层面数据：</w:t>
      </w:r>
    </w:p>
    <w:p w14:paraId="3E84497D">
      <w:pPr>
        <w:numPr>
          <w:ilvl w:val="0"/>
          <w:numId w:val="4"/>
        </w:numPr>
        <w:tabs>
          <w:tab w:val="left" w:pos="1080"/>
        </w:tabs>
        <w:bidi w:val="0"/>
        <w:ind w:firstLine="210" w:firstLineChars="100"/>
        <w:rPr>
          <w:rFonts w:hint="eastAsia"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机制变量——五省区内上市公司异地设立子公司数据。在剔除所有同名子公司及本城市内投资之后，计算五省区内其他城市对某个站点城市的异地投资笔数。</w:t>
      </w:r>
    </w:p>
    <w:p w14:paraId="0A0EB78E">
      <w:pPr>
        <w:numPr>
          <w:ilvl w:val="0"/>
          <w:numId w:val="4"/>
        </w:numPr>
        <w:tabs>
          <w:tab w:val="left" w:pos="1080"/>
        </w:tabs>
        <w:bidi w:val="0"/>
        <w:ind w:firstLine="210" w:firstLineChars="100"/>
        <w:rPr>
          <w:rFonts w:hint="default"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机制变量——全国其他城市对站点城市的异地投资。除西南五省区外，国内其他城市对站点城市异地投资笔数。</w:t>
      </w:r>
    </w:p>
    <w:p w14:paraId="5A67CB08">
      <w:pPr>
        <w:numPr>
          <w:ilvl w:val="0"/>
          <w:numId w:val="4"/>
        </w:numPr>
        <w:tabs>
          <w:tab w:val="left" w:pos="1080"/>
        </w:tabs>
        <w:bidi w:val="0"/>
        <w:ind w:firstLine="210" w:firstLineChars="100"/>
        <w:rPr>
          <w:rFonts w:hint="default"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机制变量——城市之间相互引用频次，该数据使用大语言模型与文本分析结合的方式，识别西南五省区城市在陆海新通道建设背景下对其他城市的引用次数。</w:t>
      </w:r>
    </w:p>
    <w:p w14:paraId="74A0811A">
      <w:pPr>
        <w:numPr>
          <w:ilvl w:val="0"/>
          <w:numId w:val="4"/>
        </w:numPr>
        <w:tabs>
          <w:tab w:val="left" w:pos="1080"/>
        </w:tabs>
        <w:bidi w:val="0"/>
        <w:ind w:firstLine="210" w:firstLineChars="100"/>
        <w:rPr>
          <w:rFonts w:hint="default"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机制变量——长江经济带城市和陆海新通道城市之间的异地投资笔数、中欧班列城市和陆海新通道城市之间的异地投资笔数</w:t>
      </w:r>
    </w:p>
    <w:p w14:paraId="746E5286">
      <w:pPr>
        <w:numPr>
          <w:ilvl w:val="0"/>
          <w:numId w:val="4"/>
        </w:numPr>
        <w:tabs>
          <w:tab w:val="left" w:pos="1080"/>
        </w:tabs>
        <w:bidi w:val="0"/>
        <w:ind w:firstLine="210" w:firstLineChars="100"/>
        <w:rPr>
          <w:rFonts w:hint="default"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机制变量——长江经济带城市和陆海新通道城市之间的车流量、中欧班列城市和陆海新通道城市之间的车流量，该数据来源于腾讯迁移大数据。</w:t>
      </w:r>
    </w:p>
    <w:p w14:paraId="482ED1D6">
      <w:pPr>
        <w:numPr>
          <w:ilvl w:val="0"/>
          <w:numId w:val="0"/>
        </w:numPr>
        <w:tabs>
          <w:tab w:val="left" w:pos="1080"/>
        </w:tabs>
        <w:bidi w:val="0"/>
        <w:rPr>
          <w:rFonts w:hint="default" w:ascii="Times New Roman" w:hAnsi="Times New Roman" w:eastAsia="仿宋" w:cs="Times New Roman"/>
          <w:szCs w:val="21"/>
          <w:highlight w:val="none"/>
          <w:lang w:val="en-US" w:eastAsia="zh-CN" w:bidi="ar"/>
        </w:rPr>
      </w:pPr>
    </w:p>
    <w:p w14:paraId="5300090B">
      <w:pPr>
        <w:numPr>
          <w:ilvl w:val="0"/>
          <w:numId w:val="0"/>
        </w:numPr>
        <w:tabs>
          <w:tab w:val="left" w:pos="1080"/>
        </w:tabs>
        <w:bidi w:val="0"/>
        <w:ind w:firstLine="210" w:firstLineChars="100"/>
        <w:rPr>
          <w:rFonts w:hint="eastAsia"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yellow"/>
          <w:lang w:val="en-US" w:eastAsia="zh-CN" w:bidi="ar"/>
        </w:rPr>
        <w:t>四是省份-国家对层面的数据：</w:t>
      </w:r>
    </w:p>
    <w:p w14:paraId="226BB6CC">
      <w:pPr>
        <w:numPr>
          <w:ilvl w:val="0"/>
          <w:numId w:val="5"/>
        </w:numPr>
        <w:tabs>
          <w:tab w:val="left" w:pos="1080"/>
        </w:tabs>
        <w:bidi w:val="0"/>
        <w:ind w:firstLine="210" w:firstLineChars="100"/>
        <w:rPr>
          <w:rFonts w:hint="eastAsia"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机制变量——月度层面“省份-国家对”进出口贸易额数据，包括各个省从各个国家进口、出口和进出口的贸易额，重庆、广西、贵州、云南和四川等加入新通道的省区作为处理组，其他省份作为对照组。</w:t>
      </w:r>
    </w:p>
    <w:p w14:paraId="0E48042F">
      <w:pPr>
        <w:numPr>
          <w:ilvl w:val="0"/>
          <w:numId w:val="0"/>
        </w:numPr>
        <w:tabs>
          <w:tab w:val="left" w:pos="1080"/>
        </w:tabs>
        <w:bidi w:val="0"/>
        <w:rPr>
          <w:rFonts w:hint="eastAsia" w:ascii="Times New Roman" w:hAnsi="Times New Roman" w:eastAsia="仿宋" w:cs="Times New Roman"/>
          <w:szCs w:val="21"/>
          <w:highlight w:val="none"/>
          <w:lang w:val="en-US" w:eastAsia="zh-CN" w:bidi="ar"/>
        </w:rPr>
      </w:pPr>
    </w:p>
    <w:p w14:paraId="083EF8F0">
      <w:pPr>
        <w:numPr>
          <w:ilvl w:val="0"/>
          <w:numId w:val="0"/>
        </w:numPr>
        <w:tabs>
          <w:tab w:val="left" w:pos="1080"/>
        </w:tabs>
        <w:bidi w:val="0"/>
        <w:ind w:firstLine="210" w:firstLineChars="100"/>
        <w:rPr>
          <w:rFonts w:hint="eastAsia" w:ascii="Times New Roman" w:hAnsi="Times New Roman" w:eastAsia="仿宋" w:cs="Times New Roman"/>
          <w:szCs w:val="21"/>
          <w:highlight w:val="yellow"/>
          <w:lang w:val="en-US" w:eastAsia="zh-CN" w:bidi="ar"/>
        </w:rPr>
      </w:pPr>
      <w:r>
        <w:rPr>
          <w:rFonts w:hint="eastAsia" w:ascii="Times New Roman" w:hAnsi="Times New Roman" w:eastAsia="仿宋" w:cs="Times New Roman"/>
          <w:szCs w:val="21"/>
          <w:highlight w:val="yellow"/>
          <w:lang w:val="en-US" w:eastAsia="zh-CN" w:bidi="ar"/>
        </w:rPr>
        <w:t>五是港口层面的数据：</w:t>
      </w:r>
    </w:p>
    <w:p w14:paraId="5162DC0A">
      <w:pPr>
        <w:numPr>
          <w:ilvl w:val="0"/>
          <w:numId w:val="0"/>
        </w:numPr>
        <w:tabs>
          <w:tab w:val="left" w:pos="1080"/>
        </w:tabs>
        <w:bidi w:val="0"/>
        <w:ind w:firstLine="210" w:firstLineChars="100"/>
        <w:rPr>
          <w:rFonts w:hint="default"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none"/>
          <w:lang w:val="en-US" w:eastAsia="zh-CN" w:bidi="ar"/>
        </w:rPr>
        <w:t>（1）机制变量——2008-2021年北部湾港口的货运量。数据来源于历年港口统计年鉴。为进行合成控制检验，本文还收集了与北部湾初始货运量相近的营口港、连云港、厦门港、温州港、台州港、汕头港的货运数据，以及上述港口所处城市的GDP、人口、第三产业从业人员、交通运输仓储和邮政业从业人员、行政区划面积以及公路货运量等数据。上述变量来源于城市统计年鉴。</w:t>
      </w:r>
    </w:p>
    <w:p w14:paraId="2754341F">
      <w:pPr>
        <w:numPr>
          <w:ilvl w:val="0"/>
          <w:numId w:val="0"/>
        </w:numPr>
        <w:tabs>
          <w:tab w:val="left" w:pos="1080"/>
        </w:tabs>
        <w:bidi w:val="0"/>
        <w:ind w:firstLine="420" w:firstLineChars="200"/>
        <w:rPr>
          <w:rFonts w:hint="eastAsia" w:ascii="Times New Roman" w:hAnsi="Times New Roman" w:eastAsia="仿宋" w:cs="Times New Roman"/>
          <w:szCs w:val="21"/>
          <w:highlight w:val="none"/>
          <w:lang w:val="en-US" w:eastAsia="zh-CN" w:bidi="ar"/>
        </w:rPr>
      </w:pPr>
      <w:r>
        <w:rPr>
          <w:rFonts w:hint="eastAsia" w:ascii="Times New Roman" w:hAnsi="Times New Roman" w:eastAsia="仿宋" w:cs="Times New Roman"/>
          <w:szCs w:val="21"/>
          <w:highlight w:val="yellow"/>
          <w:lang w:val="en-US" w:eastAsia="zh-CN" w:bidi="ar"/>
        </w:rPr>
        <w:t>需要说明的是：</w:t>
      </w:r>
      <w:r>
        <w:rPr>
          <w:rFonts w:hint="eastAsia" w:ascii="Times New Roman" w:hAnsi="Times New Roman" w:eastAsia="仿宋" w:cs="Times New Roman"/>
          <w:szCs w:val="21"/>
          <w:highlight w:val="none"/>
          <w:lang w:val="en-US" w:eastAsia="zh-CN" w:bidi="ar"/>
        </w:rPr>
        <w:t>上述涉及上市公司异地设立子公司（异地投资）的数据都来源于CNRDS数据库，企业进入数据都来源于工商企业注册数据库，城市“行政一体化”数据都使用大语言模型与文本分析方式整理，原始数据为各个城市每年的政府工作报告。</w:t>
      </w:r>
    </w:p>
    <w:p w14:paraId="3FDD550F">
      <w:pPr>
        <w:numPr>
          <w:ilvl w:val="0"/>
          <w:numId w:val="0"/>
        </w:numPr>
        <w:tabs>
          <w:tab w:val="left" w:pos="1080"/>
        </w:tabs>
        <w:bidi w:val="0"/>
        <w:rPr>
          <w:rFonts w:hint="default" w:ascii="Times New Roman" w:hAnsi="Times New Roman" w:eastAsia="仿宋" w:cs="Times New Roman"/>
          <w:szCs w:val="21"/>
          <w:highlight w:val="none"/>
          <w:lang w:val="en-US" w:eastAsia="zh-CN" w:bidi="ar"/>
        </w:rPr>
      </w:pPr>
    </w:p>
    <w:p w14:paraId="02158E1D">
      <w:pPr>
        <w:spacing w:line="276" w:lineRule="auto"/>
        <w:rPr>
          <w:rFonts w:hint="eastAsia" w:ascii="仿宋" w:hAnsi="仿宋" w:eastAsia="仿宋"/>
        </w:rPr>
      </w:pPr>
      <w:r>
        <w:rPr>
          <w:rFonts w:hint="eastAsia" w:ascii="Times New Roman" w:hAnsi="Times New Roman" w:eastAsia="仿宋"/>
        </w:rPr>
        <w:t>（三）Dofile</w:t>
      </w:r>
      <w:r>
        <w:rPr>
          <w:rFonts w:hint="eastAsia" w:ascii="仿宋" w:hAnsi="仿宋" w:eastAsia="仿宋"/>
        </w:rPr>
        <w:t>里面使用的指标说明</w:t>
      </w:r>
    </w:p>
    <w:p w14:paraId="3577EB49">
      <w:pPr>
        <w:widowControl w:val="0"/>
        <w:numPr>
          <w:ilvl w:val="0"/>
          <w:numId w:val="0"/>
        </w:numPr>
        <w:tabs>
          <w:tab w:val="left" w:pos="1080"/>
        </w:tabs>
        <w:bidi w:val="0"/>
        <w:jc w:val="both"/>
        <w:rPr>
          <w:rFonts w:hint="default" w:ascii="Times New Roman" w:hAnsi="Times New Roman" w:eastAsia="仿宋" w:cs="Times New Roman"/>
          <w:szCs w:val="21"/>
          <w:highlight w:val="none"/>
          <w:lang w:val="en-US" w:eastAsia="zh-CN" w:bidi="ar"/>
        </w:rPr>
      </w:pPr>
    </w:p>
    <w:p w14:paraId="758901D0">
      <w:pPr>
        <w:rPr>
          <w:rFonts w:hint="eastAsia"/>
        </w:rPr>
      </w:pPr>
      <w:r>
        <w:rPr>
          <w:rFonts w:hint="eastAsia"/>
        </w:rPr>
        <w:t>lnmean:平均灯光亮度水平（取对数）</w:t>
      </w:r>
    </w:p>
    <w:p w14:paraId="45DC508B">
      <w:pPr>
        <w:rPr>
          <w:rFonts w:hint="eastAsia"/>
        </w:rPr>
      </w:pPr>
      <w:r>
        <w:rPr>
          <w:rFonts w:hint="eastAsia"/>
        </w:rPr>
        <w:t>code_id：乡镇代码</w:t>
      </w:r>
    </w:p>
    <w:p w14:paraId="1513EB06">
      <w:pPr>
        <w:rPr>
          <w:rFonts w:hint="eastAsia"/>
        </w:rPr>
      </w:pPr>
      <w:r>
        <w:rPr>
          <w:rFonts w:hint="eastAsia"/>
        </w:rPr>
        <w:t>code_city：地级市代码</w:t>
      </w:r>
    </w:p>
    <w:p w14:paraId="504A739A">
      <w:pPr>
        <w:rPr>
          <w:rFonts w:hint="eastAsia"/>
        </w:rPr>
      </w:pPr>
      <w:r>
        <w:rPr>
          <w:rFonts w:hint="eastAsia"/>
        </w:rPr>
        <w:t>km70：边界70km范围乡镇标记</w:t>
      </w:r>
    </w:p>
    <w:p w14:paraId="18B49824">
      <w:pPr>
        <w:rPr>
          <w:rFonts w:hint="eastAsia"/>
        </w:rPr>
      </w:pPr>
      <w:r>
        <w:rPr>
          <w:rFonts w:hint="eastAsia"/>
        </w:rPr>
        <w:t>km50：边界50km范围乡镇标记</w:t>
      </w:r>
    </w:p>
    <w:p w14:paraId="759E0E4A">
      <w:pPr>
        <w:rPr>
          <w:rFonts w:hint="eastAsia"/>
        </w:rPr>
      </w:pPr>
      <w:r>
        <w:rPr>
          <w:rFonts w:hint="eastAsia"/>
        </w:rPr>
        <w:t>km30：边界30km范围乡镇标记</w:t>
      </w:r>
    </w:p>
    <w:p w14:paraId="07649472">
      <w:pPr>
        <w:rPr>
          <w:rFonts w:hint="eastAsia"/>
        </w:rPr>
      </w:pPr>
      <w:r>
        <w:rPr>
          <w:rFonts w:hint="eastAsia"/>
        </w:rPr>
        <w:t>km20：边界20km范围乡镇标记</w:t>
      </w:r>
    </w:p>
    <w:p w14:paraId="65D56181">
      <w:pPr>
        <w:rPr>
          <w:rFonts w:hint="eastAsia"/>
        </w:rPr>
      </w:pPr>
      <w:r>
        <w:rPr>
          <w:rFonts w:hint="eastAsia"/>
        </w:rPr>
        <w:t>km10：边界10km范围乡镇标记</w:t>
      </w:r>
    </w:p>
    <w:p w14:paraId="5B677D3B">
      <w:pPr>
        <w:rPr>
          <w:rFonts w:hint="eastAsia"/>
        </w:rPr>
      </w:pPr>
      <w:r>
        <w:rPr>
          <w:rFonts w:hint="eastAsia"/>
        </w:rPr>
        <w:t>D：城市开通西部陆海新通道站点的虚拟变量，开通后变为1，其余为0</w:t>
      </w:r>
    </w:p>
    <w:p w14:paraId="5C5B0C3A">
      <w:pPr>
        <w:rPr>
          <w:rFonts w:hint="eastAsia"/>
        </w:rPr>
      </w:pPr>
      <w:r>
        <w:rPr>
          <w:rFonts w:hint="eastAsia"/>
        </w:rPr>
        <w:t>Integ_count:一体化词频数</w:t>
      </w:r>
    </w:p>
    <w:p w14:paraId="0B25C263">
      <w:pPr>
        <w:rPr>
          <w:rFonts w:hint="eastAsia"/>
        </w:rPr>
      </w:pPr>
      <w:r>
        <w:rPr>
          <w:rFonts w:hint="eastAsia"/>
        </w:rPr>
        <w:t>lndiff_invest_southwest:西南五省市内部异地投资数量，上市公司异地设立子公司（取对数）</w:t>
      </w:r>
    </w:p>
    <w:p w14:paraId="554F3E48">
      <w:pPr>
        <w:rPr>
          <w:rFonts w:hint="eastAsia"/>
        </w:rPr>
      </w:pPr>
      <w:r>
        <w:rPr>
          <w:rFonts w:hint="eastAsia"/>
        </w:rPr>
        <w:t>Mutu_cit:城市在政府工作报告中相互引用的频次</w:t>
      </w:r>
    </w:p>
    <w:p w14:paraId="4B7F52FA">
      <w:pPr>
        <w:rPr>
          <w:rFonts w:hint="eastAsia"/>
        </w:rPr>
      </w:pPr>
      <w:r>
        <w:rPr>
          <w:rFonts w:hint="eastAsia"/>
        </w:rPr>
        <w:t>mar：市场分割指数</w:t>
      </w:r>
    </w:p>
    <w:p w14:paraId="71CC99A2">
      <w:pPr>
        <w:rPr>
          <w:rFonts w:hint="eastAsia"/>
        </w:rPr>
      </w:pPr>
      <w:r>
        <w:rPr>
          <w:rFonts w:hint="eastAsia"/>
        </w:rPr>
        <w:t>lndiff_invest_all:全国城市对西南五省市异地投资数量，上市公司异地设立子公司（取对数）</w:t>
      </w:r>
    </w:p>
    <w:p w14:paraId="3C17E86C">
      <w:pPr>
        <w:rPr>
          <w:rFonts w:hint="eastAsia"/>
        </w:rPr>
      </w:pPr>
      <w:r>
        <w:rPr>
          <w:rFonts w:hint="eastAsia"/>
        </w:rPr>
        <w:t>lnfirm_zeng:企业注册数量增量（取对数）</w:t>
      </w:r>
    </w:p>
    <w:p w14:paraId="0EA9AD18">
      <w:pPr>
        <w:rPr>
          <w:rFonts w:hint="eastAsia"/>
        </w:rPr>
      </w:pPr>
      <w:r>
        <w:rPr>
          <w:rFonts w:hint="eastAsia"/>
        </w:rPr>
        <w:t>lnfirm_cun：企业注册数量存量（取对数）</w:t>
      </w:r>
    </w:p>
    <w:p w14:paraId="18DA09D8">
      <w:pPr>
        <w:rPr>
          <w:rFonts w:hint="eastAsia"/>
        </w:rPr>
      </w:pPr>
      <w:r>
        <w:rPr>
          <w:rFonts w:hint="eastAsia"/>
        </w:rPr>
        <w:t>lndiff_invest_Yangtze_sw:长江经济带对西南五省市异地投资（取对数）</w:t>
      </w:r>
    </w:p>
    <w:p w14:paraId="21BFBB9C">
      <w:pPr>
        <w:rPr>
          <w:rFonts w:hint="eastAsia"/>
        </w:rPr>
      </w:pPr>
      <w:r>
        <w:rPr>
          <w:rFonts w:hint="eastAsia"/>
        </w:rPr>
        <w:t>lndiff_invest_sw_Yangtze:西南五省市对长江经济带异地投资（取对数）</w:t>
      </w:r>
    </w:p>
    <w:p w14:paraId="2E9C4C14">
      <w:pPr>
        <w:rPr>
          <w:rFonts w:hint="eastAsia"/>
        </w:rPr>
      </w:pPr>
      <w:r>
        <w:rPr>
          <w:rFonts w:hint="eastAsia"/>
        </w:rPr>
        <w:t>lntraffic:城市间车流量（取对数）</w:t>
      </w:r>
    </w:p>
    <w:p w14:paraId="22186A20">
      <w:pPr>
        <w:rPr>
          <w:rFonts w:hint="eastAsia"/>
        </w:rPr>
      </w:pPr>
      <w:r>
        <w:rPr>
          <w:rFonts w:hint="eastAsia"/>
        </w:rPr>
        <w:t>lndiff_invest_cetrain_sw:开通中欧班列城市对西南五省市异地投资（取对数）</w:t>
      </w:r>
    </w:p>
    <w:p w14:paraId="7385A726">
      <w:pPr>
        <w:rPr>
          <w:rFonts w:hint="eastAsia"/>
        </w:rPr>
      </w:pPr>
      <w:r>
        <w:rPr>
          <w:rFonts w:hint="eastAsia"/>
        </w:rPr>
        <w:t>lndiff_invest_sw_cetrain:西南五省市对开通中欧班列城市异地投资（取对数）</w:t>
      </w:r>
    </w:p>
    <w:p w14:paraId="74786610">
      <w:pPr>
        <w:rPr>
          <w:rFonts w:hint="eastAsia"/>
        </w:rPr>
      </w:pPr>
      <w:r>
        <w:rPr>
          <w:rFonts w:hint="eastAsia"/>
        </w:rPr>
        <w:t>lntrade:贸易服务企业注册数（取对数）</w:t>
      </w:r>
    </w:p>
    <w:p w14:paraId="7B6B93A5">
      <w:pPr>
        <w:rPr>
          <w:rFonts w:hint="eastAsia"/>
        </w:rPr>
      </w:pPr>
      <w:r>
        <w:rPr>
          <w:rFonts w:hint="eastAsia"/>
        </w:rPr>
        <w:t>lncorri:通道服务企业注册数（取对数）</w:t>
      </w:r>
    </w:p>
    <w:p w14:paraId="748AC04C">
      <w:pPr>
        <w:rPr>
          <w:rFonts w:hint="eastAsia"/>
        </w:rPr>
      </w:pPr>
      <w:r>
        <w:rPr>
          <w:rFonts w:hint="eastAsia"/>
        </w:rPr>
        <w:t>lntradevolume:对外贸易额（取对数）</w:t>
      </w:r>
    </w:p>
    <w:p w14:paraId="3E84FF4B">
      <w:pPr>
        <w:rPr>
          <w:rFonts w:hint="eastAsia"/>
        </w:rPr>
      </w:pPr>
      <w:r>
        <w:rPr>
          <w:rFonts w:hint="eastAsia"/>
        </w:rPr>
        <w:t>Eco_light：事前灯光亮度水平</w:t>
      </w:r>
    </w:p>
    <w:p w14:paraId="2CD07706">
      <w:pPr>
        <w:rPr>
          <w:rFonts w:hint="eastAsia"/>
        </w:rPr>
      </w:pPr>
      <w:r>
        <w:rPr>
          <w:rFonts w:hint="eastAsia"/>
        </w:rPr>
        <w:t>is_highway：事前是否开通高铁</w:t>
      </w:r>
    </w:p>
    <w:p w14:paraId="30B54D8E">
      <w:pPr>
        <w:rPr>
          <w:rFonts w:hint="eastAsia"/>
        </w:rPr>
      </w:pPr>
      <w:r>
        <w:rPr>
          <w:rFonts w:hint="eastAsia"/>
        </w:rPr>
        <w:t>GDPgrowth：事前gdp增长率</w:t>
      </w:r>
    </w:p>
    <w:p w14:paraId="2D66BA32">
      <w:pPr>
        <w:rPr>
          <w:rFonts w:hint="eastAsia"/>
        </w:rPr>
      </w:pPr>
      <w:r>
        <w:rPr>
          <w:rFonts w:hint="eastAsia"/>
        </w:rPr>
        <w:t>lnarea：区划面积</w:t>
      </w:r>
    </w:p>
    <w:p w14:paraId="06DC0922">
      <w:pPr>
        <w:rPr>
          <w:rFonts w:hint="eastAsia"/>
        </w:rPr>
      </w:pPr>
      <w:r>
        <w:rPr>
          <w:rFonts w:hint="eastAsia"/>
        </w:rPr>
        <w:t>dis_beibu：距离北部湾港距离</w:t>
      </w:r>
    </w:p>
    <w:p w14:paraId="43779C70">
      <w:pPr>
        <w:rPr>
          <w:rFonts w:hint="eastAsia"/>
        </w:rPr>
      </w:pPr>
      <w:r>
        <w:rPr>
          <w:rFonts w:hint="eastAsia"/>
        </w:rPr>
        <w:t>indu：事前二产产值占gdp比重</w:t>
      </w:r>
    </w:p>
    <w:p w14:paraId="4CB2FBC4">
      <w:pPr>
        <w:rPr>
          <w:rFonts w:hint="eastAsia"/>
        </w:rPr>
      </w:pPr>
      <w:r>
        <w:rPr>
          <w:rFonts w:hint="eastAsia"/>
        </w:rPr>
        <w:t>fin_inco：事前财政收入占gdp比重</w:t>
      </w:r>
    </w:p>
    <w:p w14:paraId="6EC03E45">
      <w:pPr>
        <w:rPr>
          <w:rFonts w:hint="eastAsia"/>
        </w:rPr>
      </w:pPr>
      <w:r>
        <w:rPr>
          <w:rFonts w:hint="eastAsia"/>
        </w:rPr>
        <w:t>trade:贸易服务企业注册数</w:t>
      </w:r>
    </w:p>
    <w:p w14:paraId="3AA40D22">
      <w:pPr>
        <w:rPr>
          <w:rFonts w:hint="eastAsia"/>
        </w:rPr>
      </w:pPr>
      <w:r>
        <w:rPr>
          <w:rFonts w:hint="eastAsia"/>
        </w:rPr>
        <w:t>corri:通道服务企业注册数</w:t>
      </w:r>
    </w:p>
    <w:p w14:paraId="1ACF1F47">
      <w:pPr>
        <w:rPr>
          <w:rFonts w:hint="eastAsia"/>
        </w:rPr>
      </w:pPr>
      <w:r>
        <w:rPr>
          <w:rFonts w:hint="eastAsia"/>
        </w:rPr>
        <w:t>ctreat:城市是否为处理组的虚拟变量，处理组为1，对照组为0</w:t>
      </w:r>
    </w:p>
    <w:p w14:paraId="3ECEF960">
      <w:pPr>
        <w:rPr>
          <w:rFonts w:hint="eastAsia"/>
        </w:rPr>
      </w:pPr>
      <w:r>
        <w:rPr>
          <w:rFonts w:hint="eastAsia"/>
        </w:rPr>
        <w:t>yz：城市是否接受对口支援的虚拟变量，接受之后变为1，其余为0</w:t>
      </w:r>
    </w:p>
    <w:p w14:paraId="2AACAAEA">
      <w:pPr>
        <w:rPr>
          <w:rFonts w:hint="eastAsia"/>
        </w:rPr>
      </w:pPr>
      <w:r>
        <w:rPr>
          <w:rFonts w:hint="eastAsia"/>
        </w:rPr>
        <w:t>pinkunxian：区县是否被划为贫困县的虚拟变量，划为贫困县后取值为1，其余为0</w:t>
      </w:r>
    </w:p>
    <w:p w14:paraId="56338683">
      <w:pPr>
        <w:rPr>
          <w:rFonts w:hint="eastAsia"/>
        </w:rPr>
      </w:pPr>
      <w:r>
        <w:rPr>
          <w:rFonts w:hint="eastAsia"/>
        </w:rPr>
        <w:t>chexiansheshi：区县是否经历撤县设市的虚拟变量，是为1，其余为0</w:t>
      </w:r>
    </w:p>
    <w:p w14:paraId="6E96F6FF">
      <w:pPr>
        <w:rPr>
          <w:rFonts w:hint="eastAsia"/>
        </w:rPr>
      </w:pPr>
      <w:r>
        <w:rPr>
          <w:rFonts w:hint="eastAsia"/>
        </w:rPr>
        <w:t>chexianshequ：区县是否撤县设区，是为1，其余为0</w:t>
      </w:r>
    </w:p>
    <w:p w14:paraId="5B4780E6">
      <w:pPr>
        <w:rPr>
          <w:rFonts w:hint="eastAsia"/>
        </w:rPr>
      </w:pPr>
      <w:r>
        <w:rPr>
          <w:rFonts w:hint="eastAsia"/>
        </w:rPr>
        <w:t>dis_beibuwan：距北部湾港距离</w:t>
      </w:r>
    </w:p>
    <w:p w14:paraId="60697036">
      <w:pPr>
        <w:rPr>
          <w:rFonts w:hint="eastAsia"/>
        </w:rPr>
      </w:pPr>
      <w:r>
        <w:rPr>
          <w:rFonts w:hint="eastAsia"/>
        </w:rPr>
        <w:t>dis_shenzhen：距深圳港距离</w:t>
      </w:r>
    </w:p>
    <w:p w14:paraId="20A4F6DB">
      <w:pPr>
        <w:rPr>
          <w:rFonts w:hint="eastAsia"/>
        </w:rPr>
      </w:pPr>
      <w:r>
        <w:rPr>
          <w:rFonts w:hint="eastAsia"/>
        </w:rPr>
        <w:t>dis_xiamen：据厦门港距离</w:t>
      </w:r>
    </w:p>
    <w:p w14:paraId="6122FDD0">
      <w:pPr>
        <w:rPr>
          <w:rFonts w:hint="eastAsia"/>
        </w:rPr>
      </w:pPr>
      <w:r>
        <w:rPr>
          <w:rFonts w:hint="eastAsia"/>
        </w:rPr>
        <w:t>dis_haianxian：距海岸线距离</w:t>
      </w:r>
    </w:p>
    <w:p w14:paraId="77F04676">
      <w:pPr>
        <w:rPr>
          <w:rFonts w:hint="eastAsia"/>
        </w:rPr>
      </w:pPr>
      <w:r>
        <w:rPr>
          <w:rFonts w:hint="eastAsia"/>
        </w:rPr>
        <w:t>predict_iv：预测的虚拟变量，城市预测成为开通站点城市后取值为1，其余为0</w:t>
      </w:r>
    </w:p>
    <w:p w14:paraId="6F72969D">
      <w:pPr>
        <w:rPr>
          <w:rFonts w:hint="eastAsia"/>
        </w:rPr>
      </w:pPr>
      <w:r>
        <w:rPr>
          <w:rFonts w:hint="eastAsia"/>
        </w:rPr>
        <w:t>DID:D与开通月份权重的交乘项</w:t>
      </w:r>
    </w:p>
    <w:p w14:paraId="50CF93DD">
      <w:pPr>
        <w:rPr>
          <w:rFonts w:hint="eastAsia"/>
        </w:rPr>
      </w:pPr>
      <w:r>
        <w:rPr>
          <w:rFonts w:hint="eastAsia"/>
        </w:rPr>
        <w:t>infra：交通基础设施建设数量</w:t>
      </w:r>
    </w:p>
    <w:p w14:paraId="50B69D50">
      <w:pPr>
        <w:rPr>
          <w:rFonts w:hint="eastAsia"/>
        </w:rPr>
      </w:pPr>
      <w:r>
        <w:rPr>
          <w:rFonts w:hint="eastAsia"/>
        </w:rPr>
        <w:t>border：城市是否开通跨境公路班车站点</w:t>
      </w:r>
    </w:p>
    <w:p w14:paraId="5BCF485E">
      <w:pPr>
        <w:rPr>
          <w:rFonts w:hint="eastAsia"/>
        </w:rPr>
      </w:pPr>
      <w:r>
        <w:rPr>
          <w:rFonts w:hint="eastAsia"/>
        </w:rPr>
        <w:t>hubdist：城市距北部湾港距离</w:t>
      </w:r>
    </w:p>
    <w:p w14:paraId="10985EB3">
      <w:pPr>
        <w:rPr>
          <w:rFonts w:hint="eastAsia"/>
        </w:rPr>
      </w:pPr>
      <w:r>
        <w:rPr>
          <w:rFonts w:hint="eastAsia"/>
        </w:rPr>
        <w:t>D_ztd:开通西部陆海新通道站点与城市是否为主通道城市的交乘项</w:t>
      </w:r>
    </w:p>
    <w:p w14:paraId="4677D172">
      <w:pPr>
        <w:rPr>
          <w:rFonts w:hint="eastAsia"/>
        </w:rPr>
      </w:pPr>
      <w:r>
        <w:rPr>
          <w:rFonts w:hint="eastAsia"/>
        </w:rPr>
        <w:t>D_bbw：开通西部陆海新通道站点与城市距北部湾港距离的交乘项</w:t>
      </w:r>
    </w:p>
    <w:p w14:paraId="7E43191D">
      <w:pPr>
        <w:rPr>
          <w:rFonts w:hint="eastAsia"/>
        </w:rPr>
      </w:pPr>
      <w:r>
        <w:rPr>
          <w:rFonts w:hint="eastAsia"/>
        </w:rPr>
        <w:t>D_road：开通西部陆海新通道站点与城市是否开通跨境公路班车站点的交乘项</w:t>
      </w:r>
    </w:p>
    <w:p w14:paraId="17AA5DC9">
      <w:pPr>
        <w:rPr>
          <w:rFonts w:hint="eastAsia"/>
        </w:rPr>
      </w:pPr>
      <w:r>
        <w:rPr>
          <w:rFonts w:hint="eastAsia"/>
        </w:rPr>
        <w:t>trade:贸易服务企业注册数</w:t>
      </w:r>
    </w:p>
    <w:p w14:paraId="09AB7780">
      <w:pPr>
        <w:rPr>
          <w:rFonts w:hint="eastAsia"/>
        </w:rPr>
      </w:pPr>
      <w:r>
        <w:rPr>
          <w:rFonts w:hint="eastAsia"/>
        </w:rPr>
        <w:t>corri:通道服务企业注册数</w:t>
      </w:r>
    </w:p>
    <w:p w14:paraId="250BA3E8">
      <w:pPr>
        <w:rPr>
          <w:rFonts w:hint="eastAsia"/>
        </w:rPr>
      </w:pPr>
      <w:r>
        <w:rPr>
          <w:rFonts w:hint="eastAsia"/>
        </w:rPr>
        <w:t>diff_invest_southwest:西南五省市内部异地投资数量，上市公司异地设立子公司</w:t>
      </w:r>
    </w:p>
    <w:p w14:paraId="1FFDCD2E">
      <w:pPr>
        <w:rPr>
          <w:rFonts w:hint="eastAsia"/>
        </w:rPr>
      </w:pPr>
      <w:r>
        <w:rPr>
          <w:rFonts w:hint="eastAsia"/>
        </w:rPr>
        <w:t>diff_invest_all:全国范围内城市对西南五省市异地投资数量，上市公司异地设立子公司</w:t>
      </w:r>
    </w:p>
    <w:p w14:paraId="593BC94A">
      <w:pPr>
        <w:rPr>
          <w:rFonts w:hint="eastAsia"/>
        </w:rPr>
      </w:pPr>
      <w:r>
        <w:rPr>
          <w:rFonts w:hint="eastAsia"/>
        </w:rPr>
        <w:t>tradevolume:对外贸易额</w:t>
      </w:r>
    </w:p>
    <w:p w14:paraId="1FAB9DBA">
      <w:pPr>
        <w:rPr>
          <w:rFonts w:hint="eastAsia"/>
        </w:rPr>
      </w:pPr>
      <w:r>
        <w:rPr>
          <w:rFonts w:hint="eastAsia"/>
        </w:rPr>
        <w:t>ietype:贸易类型，10为进出口，1为进口，0为出口</w:t>
      </w:r>
    </w:p>
    <w:p w14:paraId="38F6FF69">
      <w:pPr>
        <w:rPr>
          <w:rFonts w:hint="eastAsia"/>
        </w:rPr>
      </w:pPr>
      <w:r>
        <w:rPr>
          <w:rFonts w:hint="eastAsia"/>
        </w:rPr>
        <w:t>Yangtze_Belt:城市是否位于长江经济带的虚拟变量，是为1，否为0</w:t>
      </w:r>
    </w:p>
    <w:p w14:paraId="37DA13C4">
      <w:pPr>
        <w:rPr>
          <w:rFonts w:hint="eastAsia"/>
        </w:rPr>
      </w:pPr>
      <w:r>
        <w:rPr>
          <w:rFonts w:hint="eastAsia"/>
        </w:rPr>
        <w:t>cetrain_city:城市是否开通中欧班列的虚拟变量，是为1，否为0</w:t>
      </w:r>
    </w:p>
    <w:p w14:paraId="39405335">
      <w:pPr>
        <w:rPr>
          <w:rFonts w:hint="eastAsia"/>
        </w:rPr>
      </w:pPr>
      <w:r>
        <w:rPr>
          <w:rFonts w:hint="eastAsia"/>
        </w:rPr>
        <w:t>Port_cargo:港口货物吞吐量</w:t>
      </w:r>
    </w:p>
    <w:p w14:paraId="5047D306">
      <w:pPr>
        <w:rPr>
          <w:rFonts w:hint="eastAsia"/>
          <w:sz w:val="18"/>
          <w:szCs w:val="18"/>
        </w:rPr>
      </w:pPr>
      <w:r>
        <w:rPr>
          <w:rFonts w:hint="eastAsia"/>
        </w:rPr>
        <w:t>rk：城市常住人口数量</w:t>
      </w:r>
    </w:p>
    <w:p w14:paraId="5E2BBD97">
      <w:pPr>
        <w:rPr>
          <w:rFonts w:hint="eastAsia"/>
        </w:rPr>
      </w:pPr>
      <w:r>
        <w:rPr>
          <w:rFonts w:hint="eastAsia"/>
        </w:rPr>
        <w:t>jycc：交通运输仓储和邮政业从业人员数量</w:t>
      </w:r>
    </w:p>
    <w:p w14:paraId="491F0045">
      <w:pPr>
        <w:rPr>
          <w:rFonts w:hint="eastAsia"/>
        </w:rPr>
      </w:pPr>
      <w:r>
        <w:rPr>
          <w:rFonts w:hint="eastAsia"/>
        </w:rPr>
        <w:t>gdp：城市GDP</w:t>
      </w:r>
    </w:p>
    <w:p w14:paraId="041B9691">
      <w:pPr>
        <w:rPr>
          <w:rFonts w:hint="eastAsia"/>
        </w:rPr>
      </w:pPr>
      <w:r>
        <w:rPr>
          <w:rFonts w:hint="eastAsia"/>
        </w:rPr>
        <w:t>glhy：公路货运量</w:t>
      </w:r>
    </w:p>
    <w:p w14:paraId="6E9B0B8D">
      <w:pPr>
        <w:rPr>
          <w:rFonts w:hint="eastAsia"/>
        </w:rPr>
      </w:pPr>
      <w:r>
        <w:rPr>
          <w:rFonts w:hint="eastAsia"/>
        </w:rPr>
        <w:t>inout:车流量方向指示变量，in代表流入，out代表流出</w:t>
      </w:r>
    </w:p>
    <w:p w14:paraId="2F068E88">
      <w:pPr>
        <w:rPr>
          <w:rFonts w:hint="eastAsia"/>
          <w:lang w:val="en-US" w:eastAsia="zh-CN"/>
        </w:rPr>
      </w:pPr>
      <w:r>
        <w:rPr>
          <w:rFonts w:hint="eastAsia"/>
          <w:lang w:val="en-US" w:eastAsia="zh-CN"/>
        </w:rPr>
        <w:t>y</w:t>
      </w:r>
      <w:r>
        <w:rPr>
          <w:rFonts w:hint="eastAsia"/>
        </w:rPr>
        <w:t>m</w:t>
      </w:r>
      <w:r>
        <w:rPr>
          <w:rFonts w:hint="eastAsia"/>
          <w:lang w:val="en-US" w:eastAsia="zh-CN"/>
        </w:rPr>
        <w:t>: year-month 固定效应</w:t>
      </w:r>
    </w:p>
    <w:p w14:paraId="6D22C707">
      <w:pPr>
        <w:rPr>
          <w:rFonts w:hint="default"/>
          <w:lang w:val="en-US" w:eastAsia="zh-CN"/>
        </w:rPr>
      </w:pPr>
      <w:r>
        <w:rPr>
          <w:rFonts w:hint="eastAsia"/>
        </w:rPr>
        <w:t>Yearmon</w:t>
      </w:r>
      <w:r>
        <w:rPr>
          <w:rFonts w:hint="eastAsia"/>
          <w:lang w:val="en-US" w:eastAsia="zh-CN"/>
        </w:rPr>
        <w:t>: year-month 固定效应</w:t>
      </w:r>
    </w:p>
    <w:p w14:paraId="543A56ED">
      <w:pPr>
        <w:rPr>
          <w:rFonts w:hint="eastAsia"/>
        </w:rPr>
      </w:pPr>
      <w:r>
        <w:rPr>
          <w:rFonts w:hint="eastAsia"/>
        </w:rPr>
        <w:t>长江_year</w:t>
      </w:r>
      <w:r>
        <w:rPr>
          <w:rFonts w:hint="eastAsia"/>
          <w:lang w:eastAsia="zh-CN"/>
        </w:rPr>
        <w:t>：</w:t>
      </w:r>
      <w:r>
        <w:rPr>
          <w:rFonts w:hint="eastAsia"/>
        </w:rPr>
        <w:t>各省长江经济带城市数量×年份</w:t>
      </w:r>
    </w:p>
    <w:p w14:paraId="0596A47E">
      <w:pPr>
        <w:rPr>
          <w:rFonts w:hint="eastAsia"/>
        </w:rPr>
      </w:pPr>
      <w:r>
        <w:rPr>
          <w:rFonts w:hint="eastAsia"/>
        </w:rPr>
        <w:t>中欧班列城市数量</w:t>
      </w:r>
      <w:r>
        <w:rPr>
          <w:rFonts w:hint="eastAsia"/>
          <w:lang w:eastAsia="zh-CN"/>
        </w:rPr>
        <w:t>：</w:t>
      </w:r>
      <w:r>
        <w:rPr>
          <w:rFonts w:hint="eastAsia"/>
        </w:rPr>
        <w:t>省每年中欧班列城市新增数量</w:t>
      </w:r>
    </w:p>
    <w:p w14:paraId="2E8E403A">
      <w:pPr>
        <w:rPr>
          <w:rFonts w:hint="eastAsia"/>
        </w:rPr>
      </w:pPr>
      <w:r>
        <w:rPr>
          <w:rFonts w:hint="eastAsia"/>
        </w:rPr>
        <w:t>trade_co_port_name</w:t>
      </w:r>
      <w:r>
        <w:rPr>
          <w:rFonts w:hint="eastAsia"/>
          <w:lang w:eastAsia="zh-CN"/>
        </w:rPr>
        <w:t>：</w:t>
      </w:r>
      <w:bookmarkStart w:id="0" w:name="_GoBack"/>
      <w:bookmarkEnd w:id="0"/>
      <w:r>
        <w:rPr>
          <w:rFonts w:hint="eastAsia"/>
        </w:rPr>
        <w:t>海关数据中的原始命名，代表省份名称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0884A"/>
    <w:multiLevelType w:val="singleLevel"/>
    <w:tmpl w:val="E900884A"/>
    <w:lvl w:ilvl="0" w:tentative="0">
      <w:start w:val="1"/>
      <w:numFmt w:val="chineseCounting"/>
      <w:suff w:val="nothing"/>
      <w:lvlText w:val="（%1）"/>
      <w:lvlJc w:val="left"/>
      <w:rPr>
        <w:rFonts w:hint="eastAsia"/>
      </w:rPr>
    </w:lvl>
  </w:abstractNum>
  <w:abstractNum w:abstractNumId="1">
    <w:nsid w:val="0C6908E5"/>
    <w:multiLevelType w:val="singleLevel"/>
    <w:tmpl w:val="0C6908E5"/>
    <w:lvl w:ilvl="0" w:tentative="0">
      <w:start w:val="1"/>
      <w:numFmt w:val="decimal"/>
      <w:suff w:val="nothing"/>
      <w:lvlText w:val="（%1）"/>
      <w:lvlJc w:val="left"/>
    </w:lvl>
  </w:abstractNum>
  <w:abstractNum w:abstractNumId="2">
    <w:nsid w:val="0ECF660B"/>
    <w:multiLevelType w:val="singleLevel"/>
    <w:tmpl w:val="0ECF660B"/>
    <w:lvl w:ilvl="0" w:tentative="0">
      <w:start w:val="2"/>
      <w:numFmt w:val="decimal"/>
      <w:suff w:val="nothing"/>
      <w:lvlText w:val="（%1）"/>
      <w:lvlJc w:val="left"/>
    </w:lvl>
  </w:abstractNum>
  <w:abstractNum w:abstractNumId="3">
    <w:nsid w:val="40257C65"/>
    <w:multiLevelType w:val="singleLevel"/>
    <w:tmpl w:val="40257C65"/>
    <w:lvl w:ilvl="0" w:tentative="0">
      <w:start w:val="1"/>
      <w:numFmt w:val="decimal"/>
      <w:suff w:val="nothing"/>
      <w:lvlText w:val="（%1）"/>
      <w:lvlJc w:val="left"/>
    </w:lvl>
  </w:abstractNum>
  <w:abstractNum w:abstractNumId="4">
    <w:nsid w:val="7A8EEA72"/>
    <w:multiLevelType w:val="singleLevel"/>
    <w:tmpl w:val="7A8EEA72"/>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FD6792"/>
    <w:rsid w:val="04D90445"/>
    <w:rsid w:val="07485E01"/>
    <w:rsid w:val="0A9F4919"/>
    <w:rsid w:val="0F677B3C"/>
    <w:rsid w:val="0FB328C5"/>
    <w:rsid w:val="123F5DAE"/>
    <w:rsid w:val="12C95991"/>
    <w:rsid w:val="1BC11999"/>
    <w:rsid w:val="216539AE"/>
    <w:rsid w:val="40471402"/>
    <w:rsid w:val="4AAC2820"/>
    <w:rsid w:val="50FD6792"/>
    <w:rsid w:val="5C311062"/>
    <w:rsid w:val="63FF1835"/>
    <w:rsid w:val="74487306"/>
    <w:rsid w:val="7870081C"/>
    <w:rsid w:val="79451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0" w:beforeLines="0" w:beforeAutospacing="0" w:after="20" w:afterLines="0" w:afterAutospacing="0" w:line="360" w:lineRule="auto"/>
      <w:ind w:firstLine="0" w:firstLineChars="0"/>
      <w:outlineLvl w:val="3"/>
    </w:pPr>
    <w:rPr>
      <w:rFonts w:ascii="Arial" w:hAnsi="Arial" w:eastAsia="仿宋"/>
      <w:b/>
      <w:color w:val="C81D31" w:themeColor="accent6" w:themeShade="BF"/>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3344</Words>
  <Characters>4193</Characters>
  <Lines>0</Lines>
  <Paragraphs>0</Paragraphs>
  <TotalTime>23</TotalTime>
  <ScaleCrop>false</ScaleCrop>
  <LinksUpToDate>false</LinksUpToDate>
  <CharactersWithSpaces>4211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2025-05-30T02:05:00Z</dcterms:created>
  <dc:creator>Chuan</dc:creator>
  <cp:lastModifiedBy>Chuan</cp:lastModifiedBy>
  <dcterms:modified xsi:type="dcterms:W3CDTF">2025-11-03T10:49:47Z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27DB9AACCB724452BB932B31F3247179_13</vt:lpwstr>
  </property>
  <property fmtid="{D5CDD505-2E9C-101B-9397-08002B2CF9AE}" pid="4" name="KSOTemplateDocerSaveRecord">
    <vt:lpwstr>eyJoZGlkIjoiYTE4MTMxNGQ0NDE1NTc4MmQ4NjczNDU2MWYxMzVjODYiLCJ1c2VySWQiOiIyMTU5Mzg2NzQifQ==</vt:lpwstr>
  </property>
</Properties>
</file>