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D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3" w:beforeLines="100" w:after="313" w:afterLines="100" w:line="360" w:lineRule="auto"/>
        <w:jc w:val="center"/>
        <w:textAlignment w:val="auto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详细说明文档</w:t>
      </w:r>
    </w:p>
    <w:p w14:paraId="596A3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（一）文件说明</w:t>
      </w:r>
    </w:p>
    <w:p w14:paraId="2EBD7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本论文所使用的数据代码压缩包命名为“2025-00124+数据”，其中有三个部分，分别为“2025-00124+程序代码”、“2025-00124+日志文件”和“2025-00124+说明文档”三个部分。</w:t>
      </w:r>
    </w:p>
    <w:p w14:paraId="16E00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（1）“2025-00124+程序代码”其中包括一个文件，命名为“Finalcode”，其中由两部分组成，分别为正文代码和附录代码。</w:t>
      </w:r>
    </w:p>
    <w:p w14:paraId="762A7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default" w:eastAsia="仿宋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“2025-00124+日志文件”其中包括一个文件和两个文件夹，其中文件命名为“全文日志”，包括了生成文章所有图表（包括文章正文和附录）的代码和输出结果日志；两个文件夹分别命名为“table”和“graph”，包括了文章所有结果的导出表格（txt格式和xlsx格式）。</w:t>
      </w:r>
    </w:p>
    <w:p w14:paraId="5279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3）“2025-00124+说明文档”为本文档。</w:t>
      </w:r>
      <w:bookmarkStart w:id="0" w:name="_GoBack"/>
      <w:bookmarkEnd w:id="0"/>
    </w:p>
    <w:p w14:paraId="66DFA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本文主要使用了</w:t>
      </w:r>
      <w:r>
        <w:rPr>
          <w:rFonts w:hint="eastAsia"/>
          <w:color w:val="auto"/>
          <w:highlight w:val="none"/>
          <w:lang w:val="en-US" w:eastAsia="zh-CN"/>
        </w:rPr>
        <w:t>两</w:t>
      </w:r>
      <w:r>
        <w:rPr>
          <w:rFonts w:hint="eastAsia"/>
          <w:color w:val="auto"/>
          <w:highlight w:val="none"/>
        </w:rPr>
        <w:t>套数据：</w:t>
      </w:r>
    </w:p>
    <w:p w14:paraId="794BE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/>
        <w:jc w:val="both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第一套数据为200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-20</w:t>
      </w:r>
      <w:r>
        <w:rPr>
          <w:rFonts w:hint="eastAsia"/>
          <w:color w:val="auto"/>
          <w:highlight w:val="none"/>
          <w:lang w:val="en-US" w:eastAsia="zh-CN"/>
        </w:rPr>
        <w:t>19</w:t>
      </w:r>
      <w:r>
        <w:rPr>
          <w:rFonts w:hint="eastAsia"/>
          <w:color w:val="auto"/>
          <w:highlight w:val="none"/>
        </w:rPr>
        <w:t>年的全国企业税收调查数据（以下简称“税调”数据），税收调查数据是</w:t>
      </w:r>
      <w:r>
        <w:rPr>
          <w:rFonts w:hint="eastAsia" w:cs="Times New Roman"/>
          <w:color w:val="auto"/>
          <w:highlight w:val="none"/>
        </w:rPr>
        <w:t>由财政部和国家税务总局联合组织实施的抽样调查数据，采用分层随机抽样方法选取企业填报。与其他数据库相比，税调数据具有如下优势：其一，该数据抽样代表性强。调查样本覆盖了重点税源企业、出口企业及其他分层抽样企业，这使得调查样本的分布情况与实际情况基本相符；其二，该数据可靠性高。税调数据由财政部和国家税务总局联合组织实施的抽样调查数据，根据企业年报逐年填写，在可靠性方面具有先天优势；其三，该数据样本量大。税调数据每年调查数量大约为70万家企业，相较于上市公司等微观数据库而言，税调</w:t>
      </w:r>
      <w:r>
        <w:rPr>
          <w:rFonts w:hint="eastAsia"/>
          <w:color w:val="auto"/>
          <w:highlight w:val="none"/>
        </w:rPr>
        <w:t>数据</w:t>
      </w:r>
      <w:r>
        <w:rPr>
          <w:rFonts w:hint="eastAsia" w:cs="Times New Roman"/>
          <w:color w:val="auto"/>
          <w:highlight w:val="none"/>
        </w:rPr>
        <w:t>样本量为本文分析提供了更为精确的数据支撑；</w:t>
      </w:r>
      <w:r>
        <w:rPr>
          <w:rFonts w:hint="eastAsia"/>
          <w:color w:val="auto"/>
          <w:highlight w:val="none"/>
        </w:rPr>
        <w:t>其四，</w:t>
      </w:r>
      <w:r>
        <w:rPr>
          <w:rFonts w:hint="eastAsia" w:cs="Times New Roman"/>
          <w:color w:val="auto"/>
          <w:highlight w:val="none"/>
        </w:rPr>
        <w:t>该数据</w:t>
      </w:r>
      <w:r>
        <w:rPr>
          <w:rFonts w:hint="eastAsia"/>
          <w:color w:val="auto"/>
          <w:highlight w:val="none"/>
        </w:rPr>
        <w:t>为分析小微企业奠定了基础。税调数据不仅包括了规模以上的大型企业，还覆盖了绝大多数的中小微企业，这为本文以小微企业为主要对象的分析奠定了重要的技术基础。第二套数据为地级市层面的宏观经济变量，包括经济发展水平、人均财政收入、金融从业人员人数等一系列变量，均来自《中国城市统计年鉴》。</w:t>
      </w:r>
    </w:p>
    <w:p w14:paraId="0FCA7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/>
        <w:jc w:val="both"/>
        <w:textAlignment w:val="auto"/>
        <w:rPr>
          <w:rFonts w:hint="eastAsia" w:cs="Times New Roman"/>
          <w:color w:val="auto"/>
          <w:highlight w:val="none"/>
        </w:rPr>
      </w:pPr>
      <w:r>
        <w:rPr>
          <w:rFonts w:hint="eastAsia"/>
          <w:color w:val="auto"/>
          <w:highlight w:val="none"/>
        </w:rPr>
        <w:t>出于研究需要，我们对本文所使用的税调数据进行如下处理：其一，合并数据库，我们对200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-20</w:t>
      </w:r>
      <w:r>
        <w:rPr>
          <w:rFonts w:hint="eastAsia"/>
          <w:color w:val="auto"/>
          <w:highlight w:val="none"/>
          <w:lang w:val="en-US" w:eastAsia="zh-CN"/>
        </w:rPr>
        <w:t>19</w:t>
      </w:r>
      <w:r>
        <w:rPr>
          <w:rFonts w:hint="eastAsia"/>
          <w:color w:val="auto"/>
          <w:highlight w:val="none"/>
        </w:rPr>
        <w:t>年不同年份的税调企业数据进行逐年的统一与整理后进行合并。其中我们清理并删除了企业纳税识别号中的非识别性字符，确保了每家企业ID识别的唯一性；其二，统一代码，为了使整个样本期内的行业规范与行政区划代码具有可比性，我们将企业行业代码统一为2011年起使用的新行业分类代码，并将行政区划代码统一为2016年区划代码，同时对同一企业代码予以统一；其三，数据库清洗，</w:t>
      </w:r>
      <w:r>
        <w:rPr>
          <w:rFonts w:hint="eastAsia" w:cs="Times New Roman"/>
          <w:color w:val="auto"/>
          <w:highlight w:val="none"/>
        </w:rPr>
        <w:t>剔除了关键变量缺失或存在明显逻辑错误的企业观测值，同时为避免异常值或极端值对实证结果产生影响，本文对各连续变量在1%和99%分位数上进行缩尾处理；其四，识别小微企业，本文根据小微企业所得税优惠政策的限定条件，从数据库中筛选并保留符合小微企业资质的企业；其五，</w:t>
      </w:r>
      <w:r>
        <w:rPr>
          <w:rFonts w:hint="eastAsia"/>
          <w:color w:val="auto"/>
          <w:highlight w:val="none"/>
        </w:rPr>
        <w:t>我们根据第一步处理好的唯一的每家企业的ID与年份变量，匹配成了面板数据。最终，</w:t>
      </w:r>
      <w:r>
        <w:rPr>
          <w:rFonts w:hint="eastAsia" w:cs="Times New Roman"/>
          <w:color w:val="auto"/>
          <w:highlight w:val="none"/>
        </w:rPr>
        <w:t>经过以上对税调数据的清理工作后本文得到</w:t>
      </w:r>
      <w:r>
        <w:rPr>
          <w:rFonts w:hint="eastAsia"/>
          <w:color w:val="auto"/>
          <w:highlight w:val="none"/>
        </w:rPr>
        <w:t>200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-20</w:t>
      </w:r>
      <w:r>
        <w:rPr>
          <w:rFonts w:hint="eastAsia"/>
          <w:color w:val="auto"/>
          <w:highlight w:val="none"/>
          <w:lang w:val="en-US" w:eastAsia="zh-CN"/>
        </w:rPr>
        <w:t>19</w:t>
      </w:r>
      <w:r>
        <w:rPr>
          <w:rFonts w:hint="eastAsia"/>
          <w:color w:val="auto"/>
          <w:highlight w:val="none"/>
        </w:rPr>
        <w:t>年</w:t>
      </w:r>
      <w:r>
        <w:rPr>
          <w:rFonts w:hint="eastAsia" w:cs="Times New Roman"/>
          <w:color w:val="auto"/>
          <w:highlight w:val="none"/>
        </w:rPr>
        <w:t>小微企业样本观测值共计</w:t>
      </w:r>
      <w:r>
        <w:rPr>
          <w:rFonts w:hint="eastAsia"/>
          <w:color w:val="auto"/>
          <w:highlight w:val="none"/>
          <w:lang w:val="en-US" w:eastAsia="zh-CN"/>
        </w:rPr>
        <w:t>1380080</w:t>
      </w:r>
      <w:r>
        <w:rPr>
          <w:rFonts w:hint="eastAsia" w:cs="Times New Roman"/>
          <w:color w:val="auto"/>
          <w:highlight w:val="none"/>
        </w:rPr>
        <w:t>个，这为本文探讨</w:t>
      </w:r>
      <w:r>
        <w:rPr>
          <w:rFonts w:hint="eastAsia" w:cs="Times New Roman"/>
          <w:color w:val="auto"/>
          <w:highlight w:val="none"/>
          <w:lang w:eastAsia="zh-CN"/>
        </w:rPr>
        <w:t>“银税互动”</w:t>
      </w:r>
      <w:r>
        <w:rPr>
          <w:rFonts w:hint="eastAsia" w:cs="Times New Roman"/>
          <w:color w:val="auto"/>
          <w:highlight w:val="none"/>
        </w:rPr>
        <w:t>政策下小微企业就业吸纳效果问题奠定了必要的数据和技术基础。</w:t>
      </w:r>
    </w:p>
    <w:p w14:paraId="0F3E8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/>
        <w:jc w:val="both"/>
        <w:textAlignment w:val="auto"/>
        <w:rPr>
          <w:rFonts w:hint="default" w:eastAsia="仿宋" w:cs="Times New Roman"/>
          <w:color w:val="auto"/>
          <w:highlight w:val="none"/>
          <w:lang w:val="en-US" w:eastAsia="zh-CN"/>
        </w:rPr>
      </w:pPr>
      <w:r>
        <w:rPr>
          <w:rFonts w:hint="eastAsia" w:cs="Times New Roman"/>
          <w:color w:val="auto"/>
          <w:highlight w:val="none"/>
          <w:lang w:val="en-US" w:eastAsia="zh-CN"/>
        </w:rPr>
        <w:t>文章在进行回归时使用的主数据我们命名为“finaldata”，全文结果均是基于此数据展开分析。</w:t>
      </w:r>
    </w:p>
    <w:p w14:paraId="13358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三）Dofile指标计算方式说明</w:t>
      </w:r>
    </w:p>
    <w:p w14:paraId="5C546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就业水平=（年初职工数+年末职工数）/2的自然对数</w:t>
      </w:r>
    </w:p>
    <w:p w14:paraId="3E5DE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就业增长率=（当年平均职工数-上一年平均职工数）/企业上一年平均职工数-1</w:t>
      </w:r>
    </w:p>
    <w:p w14:paraId="225D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score=由熵值法计算的企业融资指标</w:t>
      </w:r>
    </w:p>
    <w:p w14:paraId="3A3FC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SA=采用Hadlock and Pierce（2010）的方法，构建SA指数</w:t>
      </w:r>
    </w:p>
    <w:p w14:paraId="1BD4B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JYXJ=企业经营活动产生的现金流净额/企业总资产</w:t>
      </w:r>
    </w:p>
    <w:p w14:paraId="4BDAF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JYXJTZXJ=企业经营和投资活动产生的现金流净额/企业总资产</w:t>
      </w:r>
    </w:p>
    <w:p w14:paraId="73EC2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JYXJTZXJCZXJ=企业经营和投资和筹资活动产生的现金流净额/企业总资产</w:t>
      </w:r>
    </w:p>
    <w:p w14:paraId="2BE63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XJZJE=企业现金及现金等价物净额/企业总资产</w:t>
      </w:r>
    </w:p>
    <w:p w14:paraId="52617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fa=本年增加的固定资产/企业总资产</w:t>
      </w:r>
    </w:p>
    <w:p w14:paraId="3E9B5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dummy=固定资产投资是否为0</w:t>
      </w:r>
    </w:p>
    <w:p w14:paraId="1F89D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fa_op=本年增加的生产性固定资产/企业总资产</w:t>
      </w:r>
    </w:p>
    <w:p w14:paraId="0B114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size=企业当年总资产的自然对数</w:t>
      </w:r>
    </w:p>
    <w:p w14:paraId="18F0A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debt_asset=企业总负债/企业总资产</w:t>
      </w:r>
    </w:p>
    <w:p w14:paraId="5BF88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age=（当年年份-公司成立年份+1）</w:t>
      </w:r>
    </w:p>
    <w:p w14:paraId="78CA1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prof=企业净利润/主营业务收入</w:t>
      </w:r>
    </w:p>
    <w:p w14:paraId="01690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zzs=（增值税销项税额-增值税进项税额）/企业利润</w:t>
      </w:r>
    </w:p>
    <w:p w14:paraId="5A718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GDP=地区生产总值的自然对数</w:t>
      </w:r>
    </w:p>
    <w:p w14:paraId="62B04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finance=地方一般公共预算收入的自然对数</w:t>
      </w:r>
    </w:p>
    <w:p w14:paraId="391EB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fin_deepening=金融机构各项贷款余额/地区生产总值</w:t>
      </w:r>
    </w:p>
    <w:p w14:paraId="5B7A9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ln_bank=金融机构营业网点数量的自然对数</w:t>
      </w:r>
    </w:p>
    <w:p w14:paraId="67F07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ln_finance_worker=金融业从业人员数量的自然对数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4AE2"/>
    <w:rsid w:val="02BE582C"/>
    <w:rsid w:val="06C74ECC"/>
    <w:rsid w:val="071A149F"/>
    <w:rsid w:val="0AB85257"/>
    <w:rsid w:val="0B2A76B4"/>
    <w:rsid w:val="0DA50530"/>
    <w:rsid w:val="0DEA1BCB"/>
    <w:rsid w:val="0F0E07E4"/>
    <w:rsid w:val="115E0C1E"/>
    <w:rsid w:val="13D11AE0"/>
    <w:rsid w:val="15CC1F10"/>
    <w:rsid w:val="169052DA"/>
    <w:rsid w:val="17F673BF"/>
    <w:rsid w:val="1A8962C8"/>
    <w:rsid w:val="1B24665D"/>
    <w:rsid w:val="1E5C124A"/>
    <w:rsid w:val="1FCD6C57"/>
    <w:rsid w:val="24217E33"/>
    <w:rsid w:val="24EE3666"/>
    <w:rsid w:val="279F537D"/>
    <w:rsid w:val="2B27237A"/>
    <w:rsid w:val="2E701821"/>
    <w:rsid w:val="351A4295"/>
    <w:rsid w:val="36BC5DCD"/>
    <w:rsid w:val="38C2711D"/>
    <w:rsid w:val="38C827F8"/>
    <w:rsid w:val="39A770A3"/>
    <w:rsid w:val="39CE27E3"/>
    <w:rsid w:val="3A8C79E3"/>
    <w:rsid w:val="421F113C"/>
    <w:rsid w:val="43421586"/>
    <w:rsid w:val="448A5FE4"/>
    <w:rsid w:val="474358CD"/>
    <w:rsid w:val="475D10E2"/>
    <w:rsid w:val="47B24801"/>
    <w:rsid w:val="4AAA5C63"/>
    <w:rsid w:val="4ACF1226"/>
    <w:rsid w:val="4EFB2CB5"/>
    <w:rsid w:val="4FF43C08"/>
    <w:rsid w:val="54803697"/>
    <w:rsid w:val="5806097D"/>
    <w:rsid w:val="5923730C"/>
    <w:rsid w:val="5D7B7F70"/>
    <w:rsid w:val="5E084D23"/>
    <w:rsid w:val="5EE763E9"/>
    <w:rsid w:val="5F242C1B"/>
    <w:rsid w:val="60015141"/>
    <w:rsid w:val="62126170"/>
    <w:rsid w:val="636F1B60"/>
    <w:rsid w:val="639808F7"/>
    <w:rsid w:val="6578552E"/>
    <w:rsid w:val="69595134"/>
    <w:rsid w:val="6CC83FFB"/>
    <w:rsid w:val="6E26339E"/>
    <w:rsid w:val="6FAF4FFE"/>
    <w:rsid w:val="6FF43359"/>
    <w:rsid w:val="70761FC0"/>
    <w:rsid w:val="72783DCD"/>
    <w:rsid w:val="75475CD9"/>
    <w:rsid w:val="762423E1"/>
    <w:rsid w:val="79C93160"/>
    <w:rsid w:val="79F81305"/>
    <w:rsid w:val="7ACA53E2"/>
    <w:rsid w:val="7B334FEE"/>
    <w:rsid w:val="7BA14395"/>
    <w:rsid w:val="7CCE4DAD"/>
    <w:rsid w:val="7CE8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40" w:lineRule="auto"/>
      <w:ind w:firstLine="0" w:firstLineChars="0"/>
      <w:jc w:val="left"/>
    </w:pPr>
    <w:rPr>
      <w:rFonts w:ascii="Times New Roman" w:hAnsi="Times New Roman" w:eastAsia="仿宋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semiHidden/>
    <w:unhideWhenUsed/>
    <w:qFormat/>
    <w:uiPriority w:val="99"/>
    <w:pPr>
      <w:snapToGrid w:val="0"/>
    </w:pPr>
    <w:rPr>
      <w:sz w:val="18"/>
      <w:szCs w:val="18"/>
    </w:rPr>
  </w:style>
  <w:style w:type="character" w:styleId="5">
    <w:name w:val="footnote reference"/>
    <w:basedOn w:val="4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1646</Words>
  <Characters>1935</Characters>
  <Lines>0</Lines>
  <Paragraphs>0</Paragraphs>
  <TotalTime>1</TotalTime>
  <ScaleCrop>false</ScaleCrop>
  <LinksUpToDate>false</LinksUpToDate>
  <CharactersWithSpaces>1937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2024-10-13T13:13:00Z</dcterms:created>
  <dc:creator>Administrator</dc:creator>
  <cp:lastModifiedBy>梁书宁</cp:lastModifiedBy>
  <dcterms:modified xsi:type="dcterms:W3CDTF">2025-07-17T05:20:27Z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69E44B592CEE481EB23DD9CD7FCD7093_12</vt:lpwstr>
  </property>
  <property fmtid="{D5CDD505-2E9C-101B-9397-08002B2CF9AE}" pid="4" name="KSOTemplateDocerSaveRecord">
    <vt:lpwstr>eyJoZGlkIjoiMjAwMDIwZTYxNjE3NGNmNzA2NmY5NTY0ZWZkYTZlMjgiLCJ1c2VySWQiOiI2Nzk3NDUwNTIifQ==</vt:lpwstr>
  </property>
</Properties>
</file>