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570398" w14:textId="11B31E84" w:rsidR="00811E9D" w:rsidRPr="00AB7A50" w:rsidRDefault="00F13269">
      <w:pPr>
        <w:spacing w:beforeLines="50" w:before="156" w:afterLines="50" w:after="156" w:line="360" w:lineRule="auto"/>
        <w:jc w:val="center"/>
        <w:rPr>
          <w:rFonts w:ascii="黑体" w:eastAsia="黑体" w:hAnsi="黑体" w:cs="黑体" w:hint="eastAsia"/>
          <w:b/>
          <w:bCs/>
          <w:sz w:val="32"/>
          <w:szCs w:val="32"/>
        </w:rPr>
      </w:pPr>
      <w:r>
        <w:rPr>
          <w:rFonts w:ascii="黑体" w:eastAsia="黑体" w:hAnsi="黑体" w:cs="黑体" w:hint="eastAsia"/>
          <w:b/>
          <w:bCs/>
          <w:sz w:val="32"/>
          <w:szCs w:val="32"/>
        </w:rPr>
        <w:t>数据来源说明</w:t>
      </w:r>
    </w:p>
    <w:p w14:paraId="728CD756" w14:textId="77777777" w:rsidR="00AB7A50" w:rsidRPr="009324F9" w:rsidRDefault="00AB7A50">
      <w:pPr>
        <w:spacing w:beforeLines="50" w:before="156" w:afterLines="50" w:after="156" w:line="360" w:lineRule="auto"/>
        <w:jc w:val="center"/>
        <w:rPr>
          <w:rFonts w:ascii="黑体" w:eastAsia="黑体" w:hAnsi="黑体" w:cs="黑体" w:hint="eastAsia"/>
          <w:szCs w:val="21"/>
        </w:rPr>
      </w:pPr>
    </w:p>
    <w:p w14:paraId="563D2027" w14:textId="30379D6B" w:rsidR="00FF6DF4" w:rsidRDefault="00FF6DF4" w:rsidP="001E6EB6">
      <w:pPr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 w:hint="eastAsia"/>
          <w:sz w:val="24"/>
        </w:rPr>
        <w:t>论文的数据主要有基本的投入-产出相关数据、贸易和消费数据、以及</w:t>
      </w:r>
      <w:r w:rsidR="00C21AF5">
        <w:rPr>
          <w:rFonts w:ascii="仿宋" w:eastAsia="仿宋" w:hAnsi="仿宋" w:cs="仿宋" w:hint="eastAsia"/>
          <w:sz w:val="24"/>
        </w:rPr>
        <w:t>关税、非关税与税收数据。</w:t>
      </w:r>
    </w:p>
    <w:p w14:paraId="4786E7AD" w14:textId="4B05D3C2" w:rsidR="00C21AF5" w:rsidRPr="00C21AF5" w:rsidRDefault="00C21AF5" w:rsidP="001E6EB6">
      <w:pPr>
        <w:spacing w:line="360" w:lineRule="auto"/>
        <w:ind w:firstLineChars="200" w:firstLine="482"/>
        <w:rPr>
          <w:rFonts w:ascii="仿宋" w:eastAsia="仿宋" w:hAnsi="仿宋" w:cs="仿宋" w:hint="eastAsia"/>
          <w:b/>
          <w:bCs/>
          <w:sz w:val="24"/>
        </w:rPr>
      </w:pPr>
      <w:r w:rsidRPr="00C21AF5">
        <w:rPr>
          <w:rFonts w:ascii="仿宋" w:eastAsia="仿宋" w:hAnsi="仿宋" w:cs="仿宋" w:hint="eastAsia"/>
          <w:b/>
          <w:bCs/>
          <w:sz w:val="24"/>
        </w:rPr>
        <w:t>1、各国投入-</w:t>
      </w:r>
      <w:r w:rsidRPr="00C21AF5">
        <w:rPr>
          <w:rFonts w:ascii="仿宋" w:eastAsia="仿宋" w:hAnsi="仿宋" w:cs="仿宋"/>
          <w:b/>
          <w:bCs/>
          <w:sz w:val="24"/>
        </w:rPr>
        <w:t>产出数据</w:t>
      </w:r>
    </w:p>
    <w:p w14:paraId="57388A7F" w14:textId="5C788E5A" w:rsidR="001E6EB6" w:rsidRDefault="001E6EB6" w:rsidP="001E6EB6">
      <w:pPr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 w:rsidRPr="001E6EB6">
        <w:rPr>
          <w:rFonts w:ascii="仿宋" w:eastAsia="仿宋" w:hAnsi="仿宋" w:cs="仿宋"/>
          <w:sz w:val="24"/>
        </w:rPr>
        <w:t>各国的生产投入和产出数据来源于世界银行的世界发展指数（WDI）数据库</w:t>
      </w:r>
      <w:r w:rsidR="009324F9">
        <w:rPr>
          <w:rFonts w:ascii="仿宋" w:eastAsia="仿宋" w:hAnsi="仿宋" w:cs="仿宋" w:hint="eastAsia"/>
          <w:sz w:val="24"/>
        </w:rPr>
        <w:t>（</w:t>
      </w:r>
      <w:r w:rsidR="009324F9" w:rsidRPr="009324F9">
        <w:rPr>
          <w:rFonts w:ascii="仿宋" w:eastAsia="仿宋" w:hAnsi="仿宋" w:cs="仿宋"/>
          <w:sz w:val="24"/>
        </w:rPr>
        <w:t>https://data.worldbank.org/indicator</w:t>
      </w:r>
      <w:r w:rsidR="009324F9">
        <w:rPr>
          <w:rFonts w:ascii="仿宋" w:eastAsia="仿宋" w:hAnsi="仿宋" w:cs="仿宋" w:hint="eastAsia"/>
          <w:sz w:val="24"/>
        </w:rPr>
        <w:t>）</w:t>
      </w:r>
      <w:r w:rsidRPr="001E6EB6">
        <w:rPr>
          <w:rFonts w:ascii="仿宋" w:eastAsia="仿宋" w:hAnsi="仿宋" w:cs="仿宋"/>
          <w:sz w:val="24"/>
        </w:rPr>
        <w:t>，使用农业和服务业在GDP中的比重以及GDP数据计算制造业和非制造业产品的产出，使用资本/ GDP的比重来确定生产中的资本和劳动力投入。使用第二产业（制造业）的数据代表制造业产品，使用第一和第三产业（农业、采掘业和服务业）的数据代表非制造业产品。要素投入上使用劳动收入（工资）来表示劳动要素的投入。其他国家（ROW）的数据使用世界总值减去模型中所有单个国家或地区的总值获得。</w:t>
      </w:r>
    </w:p>
    <w:p w14:paraId="54C66FD0" w14:textId="78BAA308" w:rsidR="00C21AF5" w:rsidRPr="00C21AF5" w:rsidRDefault="00C21AF5" w:rsidP="001E6EB6">
      <w:pPr>
        <w:spacing w:line="360" w:lineRule="auto"/>
        <w:ind w:firstLineChars="200" w:firstLine="482"/>
        <w:rPr>
          <w:rFonts w:ascii="仿宋" w:eastAsia="仿宋" w:hAnsi="仿宋" w:cs="仿宋" w:hint="eastAsia"/>
          <w:b/>
          <w:bCs/>
          <w:sz w:val="24"/>
        </w:rPr>
      </w:pPr>
      <w:r w:rsidRPr="00C21AF5">
        <w:rPr>
          <w:rFonts w:ascii="仿宋" w:eastAsia="仿宋" w:hAnsi="仿宋" w:cs="仿宋" w:hint="eastAsia"/>
          <w:b/>
          <w:bCs/>
          <w:sz w:val="24"/>
        </w:rPr>
        <w:t>2</w:t>
      </w:r>
      <w:r w:rsidRPr="00C21AF5">
        <w:rPr>
          <w:rFonts w:ascii="仿宋" w:eastAsia="仿宋" w:hAnsi="仿宋" w:cs="仿宋"/>
          <w:b/>
          <w:bCs/>
          <w:sz w:val="24"/>
        </w:rPr>
        <w:t>、贸易和消费数据</w:t>
      </w:r>
    </w:p>
    <w:p w14:paraId="6513DF91" w14:textId="2D0A8A1D" w:rsidR="00C21AF5" w:rsidRDefault="001E6EB6" w:rsidP="001E6EB6">
      <w:pPr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 w:rsidRPr="001E6EB6">
        <w:rPr>
          <w:rFonts w:ascii="仿宋" w:eastAsia="仿宋" w:hAnsi="仿宋" w:cs="仿宋"/>
          <w:sz w:val="24"/>
        </w:rPr>
        <w:t>各个国家之间的相互贸易数据来源于联合国</w:t>
      </w:r>
      <w:proofErr w:type="spellStart"/>
      <w:r w:rsidRPr="001E6EB6">
        <w:rPr>
          <w:rFonts w:ascii="仿宋" w:eastAsia="仿宋" w:hAnsi="仿宋" w:cs="仿宋"/>
          <w:sz w:val="24"/>
        </w:rPr>
        <w:t>Comtrade</w:t>
      </w:r>
      <w:proofErr w:type="spellEnd"/>
      <w:r w:rsidRPr="001E6EB6">
        <w:rPr>
          <w:rFonts w:ascii="仿宋" w:eastAsia="仿宋" w:hAnsi="仿宋" w:cs="仿宋"/>
          <w:sz w:val="24"/>
        </w:rPr>
        <w:t>数据库</w:t>
      </w:r>
      <w:r w:rsidR="005D6CC5">
        <w:rPr>
          <w:rFonts w:ascii="仿宋" w:eastAsia="仿宋" w:hAnsi="仿宋" w:cs="仿宋" w:hint="eastAsia"/>
          <w:sz w:val="24"/>
        </w:rPr>
        <w:t>（</w:t>
      </w:r>
      <w:r w:rsidR="005D6CC5" w:rsidRPr="005D6CC5">
        <w:rPr>
          <w:rFonts w:ascii="仿宋" w:eastAsia="仿宋" w:hAnsi="仿宋" w:cs="仿宋"/>
          <w:sz w:val="24"/>
        </w:rPr>
        <w:t>https://comtradeplus.un.org/</w:t>
      </w:r>
      <w:r w:rsidR="005D6CC5">
        <w:rPr>
          <w:rFonts w:ascii="仿宋" w:eastAsia="仿宋" w:hAnsi="仿宋" w:cs="仿宋" w:hint="eastAsia"/>
          <w:sz w:val="24"/>
        </w:rPr>
        <w:t>）</w:t>
      </w:r>
      <w:r w:rsidRPr="001E6EB6">
        <w:rPr>
          <w:rFonts w:ascii="仿宋" w:eastAsia="仿宋" w:hAnsi="仿宋" w:cs="仿宋"/>
          <w:sz w:val="24"/>
        </w:rPr>
        <w:t>。使用生产和贸易的数据，可以计算出单个国家的消费数据。</w:t>
      </w:r>
    </w:p>
    <w:p w14:paraId="0304E7B2" w14:textId="79086705" w:rsidR="00C21AF5" w:rsidRPr="00C21AF5" w:rsidRDefault="00C21AF5" w:rsidP="001E6EB6">
      <w:pPr>
        <w:spacing w:line="360" w:lineRule="auto"/>
        <w:ind w:firstLineChars="200" w:firstLine="482"/>
        <w:rPr>
          <w:rFonts w:ascii="仿宋" w:eastAsia="仿宋" w:hAnsi="仿宋" w:cs="仿宋" w:hint="eastAsia"/>
          <w:b/>
          <w:bCs/>
          <w:sz w:val="24"/>
        </w:rPr>
      </w:pPr>
      <w:r w:rsidRPr="00C21AF5">
        <w:rPr>
          <w:rFonts w:ascii="仿宋" w:eastAsia="仿宋" w:hAnsi="仿宋" w:cs="仿宋" w:hint="eastAsia"/>
          <w:b/>
          <w:bCs/>
          <w:sz w:val="24"/>
        </w:rPr>
        <w:t>3</w:t>
      </w:r>
      <w:r w:rsidRPr="00C21AF5">
        <w:rPr>
          <w:rFonts w:ascii="仿宋" w:eastAsia="仿宋" w:hAnsi="仿宋" w:cs="仿宋"/>
          <w:b/>
          <w:bCs/>
          <w:sz w:val="24"/>
        </w:rPr>
        <w:t>、关税和非关税及收入数据</w:t>
      </w:r>
    </w:p>
    <w:p w14:paraId="0D747235" w14:textId="5427D9D3" w:rsidR="00811E9D" w:rsidRDefault="001E6EB6" w:rsidP="001E6EB6">
      <w:pPr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 w:rsidRPr="001E6EB6">
        <w:rPr>
          <w:rFonts w:ascii="仿宋" w:eastAsia="仿宋" w:hAnsi="仿宋" w:cs="仿宋"/>
          <w:sz w:val="24"/>
        </w:rPr>
        <w:t>使用Novy（2013）的方法计算模型中各国相互之间的贸易成本</w:t>
      </w:r>
      <w:r w:rsidRPr="001E6EB6">
        <w:rPr>
          <w:rFonts w:ascii="仿宋" w:eastAsia="仿宋" w:hAnsi="仿宋" w:cs="仿宋"/>
          <w:sz w:val="24"/>
          <w:vertAlign w:val="superscript"/>
        </w:rPr>
        <w:footnoteReference w:id="1"/>
      </w:r>
      <w:r w:rsidRPr="001E6EB6">
        <w:rPr>
          <w:rFonts w:ascii="仿宋" w:eastAsia="仿宋" w:hAnsi="仿宋" w:cs="仿宋"/>
          <w:sz w:val="24"/>
        </w:rPr>
        <w:t>，每个国家的进口关税数据来源于WTO统计数据库</w:t>
      </w:r>
      <w:r w:rsidR="005D6CC5">
        <w:rPr>
          <w:rFonts w:ascii="仿宋" w:eastAsia="仿宋" w:hAnsi="仿宋" w:cs="仿宋" w:hint="eastAsia"/>
          <w:sz w:val="24"/>
        </w:rPr>
        <w:t>（</w:t>
      </w:r>
      <w:r w:rsidR="005D6CC5" w:rsidRPr="005D6CC5">
        <w:rPr>
          <w:rFonts w:ascii="仿宋" w:eastAsia="仿宋" w:hAnsi="仿宋" w:cs="仿宋"/>
          <w:sz w:val="24"/>
        </w:rPr>
        <w:t>https://www.wto.org/english/res_e/statis_e/statis_e.htm?trk=public_post_reshare-text</w:t>
      </w:r>
      <w:r w:rsidR="005D6CC5">
        <w:rPr>
          <w:rFonts w:ascii="仿宋" w:eastAsia="仿宋" w:hAnsi="仿宋" w:cs="仿宋" w:hint="eastAsia"/>
          <w:sz w:val="24"/>
        </w:rPr>
        <w:t>）</w:t>
      </w:r>
      <w:r w:rsidRPr="001E6EB6">
        <w:rPr>
          <w:rFonts w:ascii="仿宋" w:eastAsia="仿宋" w:hAnsi="仿宋" w:cs="仿宋"/>
          <w:sz w:val="24"/>
        </w:rPr>
        <w:t>，使用最惠国平均关税率表示，非关税壁垒数据用贸易成本减去进口关税率。ROW进口关税水平使用世界其他国家的平均关税税率来表示</w:t>
      </w:r>
      <w:r>
        <w:rPr>
          <w:rFonts w:ascii="仿宋" w:eastAsia="仿宋" w:hAnsi="仿宋" w:cs="仿宋" w:hint="eastAsia"/>
          <w:sz w:val="24"/>
        </w:rPr>
        <w:t>。</w:t>
      </w:r>
      <w:r w:rsidR="00C21AF5">
        <w:rPr>
          <w:rFonts w:ascii="仿宋" w:eastAsia="仿宋" w:hAnsi="仿宋" w:cs="仿宋" w:hint="eastAsia"/>
          <w:sz w:val="24"/>
        </w:rPr>
        <w:t>使用关税和非关税壁垒数据，以及贸易数据，就可以计算出各国的关税收入、非关税壁垒支出。</w:t>
      </w:r>
    </w:p>
    <w:p w14:paraId="79353D83" w14:textId="2CAF1957" w:rsidR="001B7D5B" w:rsidRPr="001E6EB6" w:rsidRDefault="001B7D5B" w:rsidP="001E6EB6">
      <w:pPr>
        <w:spacing w:line="360" w:lineRule="auto"/>
        <w:ind w:firstLineChars="200" w:firstLine="480"/>
        <w:rPr>
          <w:rFonts w:ascii="仿宋" w:eastAsia="仿宋" w:hAnsi="仿宋" w:cs="仿宋" w:hint="eastAsia"/>
          <w:sz w:val="24"/>
        </w:rPr>
      </w:pPr>
      <w:r>
        <w:rPr>
          <w:rFonts w:ascii="仿宋" w:eastAsia="仿宋" w:hAnsi="仿宋" w:cs="仿宋"/>
          <w:sz w:val="24"/>
        </w:rPr>
        <w:t>具体数据参见数据文件。</w:t>
      </w:r>
    </w:p>
    <w:sectPr w:rsidR="001B7D5B" w:rsidRPr="001E6EB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368F02" w14:textId="77777777" w:rsidR="006559D4" w:rsidRDefault="006559D4" w:rsidP="001E6EB6">
      <w:r>
        <w:separator/>
      </w:r>
    </w:p>
  </w:endnote>
  <w:endnote w:type="continuationSeparator" w:id="0">
    <w:p w14:paraId="4233C0A4" w14:textId="77777777" w:rsidR="006559D4" w:rsidRDefault="006559D4" w:rsidP="001E6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方正仿宋_GBK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A87B51" w14:textId="77777777" w:rsidR="006559D4" w:rsidRDefault="006559D4" w:rsidP="001E6EB6">
      <w:r>
        <w:separator/>
      </w:r>
    </w:p>
  </w:footnote>
  <w:footnote w:type="continuationSeparator" w:id="0">
    <w:p w14:paraId="252C2338" w14:textId="77777777" w:rsidR="006559D4" w:rsidRDefault="006559D4" w:rsidP="001E6EB6">
      <w:r>
        <w:continuationSeparator/>
      </w:r>
    </w:p>
  </w:footnote>
  <w:footnote w:id="1">
    <w:p w14:paraId="1791728D" w14:textId="2F260A59" w:rsidR="001E6EB6" w:rsidRDefault="001E6EB6" w:rsidP="001E6EB6">
      <w:pPr>
        <w:snapToGrid w:val="0"/>
        <w:jc w:val="left"/>
        <w:rPr>
          <w:rFonts w:ascii="仿宋" w:hAnsi="仿宋" w:cs="仿宋" w:hint="eastAsia"/>
          <w:sz w:val="18"/>
        </w:rPr>
      </w:pPr>
      <w:r>
        <w:rPr>
          <w:rFonts w:ascii="仿宋" w:hAnsi="仿宋" w:cs="仿宋" w:hint="eastAsia"/>
          <w:vertAlign w:val="superscript"/>
        </w:rPr>
        <w:footnoteRef/>
      </w:r>
      <w:r>
        <w:rPr>
          <w:rFonts w:ascii="仿宋" w:hAnsi="仿宋" w:cs="仿宋" w:hint="eastAsia"/>
          <w:sz w:val="18"/>
        </w:rPr>
        <w:t xml:space="preserve"> </w:t>
      </w:r>
      <w:r>
        <w:rPr>
          <w:rFonts w:ascii="仿宋" w:hAnsi="仿宋" w:cs="仿宋" w:hint="eastAsia"/>
          <w:sz w:val="18"/>
        </w:rPr>
        <w:t>具体计算方法参见附录。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BB3BA164"/>
    <w:rsid w:val="BB3BA164"/>
    <w:rsid w:val="EF6F1367"/>
    <w:rsid w:val="00050034"/>
    <w:rsid w:val="001B7D5B"/>
    <w:rsid w:val="001E0C84"/>
    <w:rsid w:val="001E6EB6"/>
    <w:rsid w:val="0034195E"/>
    <w:rsid w:val="005D6CC5"/>
    <w:rsid w:val="006559D4"/>
    <w:rsid w:val="006762F5"/>
    <w:rsid w:val="006B015E"/>
    <w:rsid w:val="00811E9D"/>
    <w:rsid w:val="009324F9"/>
    <w:rsid w:val="00AB1501"/>
    <w:rsid w:val="00AB7A50"/>
    <w:rsid w:val="00B7330C"/>
    <w:rsid w:val="00C21AF5"/>
    <w:rsid w:val="00C66933"/>
    <w:rsid w:val="00D11D60"/>
    <w:rsid w:val="00F13269"/>
    <w:rsid w:val="00F2327B"/>
    <w:rsid w:val="00F2441B"/>
    <w:rsid w:val="00FF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BF3721"/>
  <w15:docId w15:val="{D9560F60-A734-458C-9503-DF895B03B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324F9"/>
    <w:rPr>
      <w:color w:val="0026E5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9324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103</Words>
  <Characters>591</Characters>
  <Application>Microsoft Office Word</Application>
  <DocSecurity>0</DocSecurity>
  <Lines>4</Lines>
  <Paragraphs>1</Paragraphs>
  <ScaleCrop>false</ScaleCrop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作者</dc:creator>
  <cp:lastModifiedBy>chundingli@163.com</cp:lastModifiedBy>
  <cp:revision>14</cp:revision>
  <cp:lastPrinted>2024-10-20T15:36:00Z</cp:lastPrinted>
  <dcterms:created xsi:type="dcterms:W3CDTF">2024-09-06T18:09:00Z</dcterms:created>
  <dcterms:modified xsi:type="dcterms:W3CDTF">2024-10-21T10:07:00Z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A301BFF908326A9B7464DA667F360EE9_41</vt:lpwstr>
  </property>
</Properties>
</file>