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C4C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76" w:lineRule="auto"/>
        <w:jc w:val="center"/>
        <w:textAlignment w:val="auto"/>
        <w:rPr>
          <w:rFonts w:hint="eastAsia" w:ascii="宋体" w:hAnsi="宋体" w:eastAsia="宋体" w:cs="仿宋"/>
          <w:sz w:val="36"/>
          <w:szCs w:val="36"/>
        </w:rPr>
      </w:pPr>
      <w:r>
        <w:rPr>
          <w:rFonts w:hint="eastAsia" w:ascii="宋体" w:hAnsi="宋体" w:eastAsia="宋体" w:cs="仿宋"/>
          <w:sz w:val="36"/>
          <w:szCs w:val="36"/>
        </w:rPr>
        <w:t>说明文档</w:t>
      </w:r>
    </w:p>
    <w:p w14:paraId="668E7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76" w:lineRule="auto"/>
        <w:textAlignment w:val="auto"/>
        <w:outlineLvl w:val="0"/>
        <w:rPr>
          <w:rFonts w:hint="eastAsia" w:ascii="黑体" w:hAnsi="黑体" w:eastAsia="黑体" w:cs="仿宋"/>
        </w:rPr>
      </w:pPr>
      <w:r>
        <w:rPr>
          <w:rFonts w:hint="eastAsia" w:ascii="黑体" w:hAnsi="黑体" w:eastAsia="黑体" w:cs="仿宋"/>
          <w:lang w:val="en-US" w:eastAsia="zh-CN"/>
        </w:rPr>
        <w:t>一、</w:t>
      </w:r>
      <w:r>
        <w:rPr>
          <w:rFonts w:hint="eastAsia" w:ascii="黑体" w:hAnsi="黑体" w:eastAsia="黑体" w:cs="仿宋"/>
        </w:rPr>
        <w:t>文件说明</w:t>
      </w:r>
    </w:p>
    <w:p w14:paraId="2BBC09DD">
      <w:pPr>
        <w:spacing w:line="276" w:lineRule="auto"/>
        <w:ind w:firstLine="420" w:firstLineChars="200"/>
        <w:rPr>
          <w:rFonts w:hint="eastAsia" w:ascii="Times New Roman" w:hAnsi="Times New Roman" w:eastAsia="仿宋" w:cs="仿宋"/>
        </w:rPr>
      </w:pPr>
      <w:r>
        <w:rPr>
          <w:rFonts w:hint="eastAsia" w:ascii="Times New Roman" w:hAnsi="Times New Roman" w:eastAsia="仿宋" w:cs="仿宋"/>
        </w:rPr>
        <w:t>本论文使用的数据包命名为“2024-00536+数据”，里面有“2024-00536+</w:t>
      </w:r>
      <w:r>
        <w:rPr>
          <w:rFonts w:hint="eastAsia" w:ascii="Times New Roman" w:hAnsi="Times New Roman" w:eastAsia="仿宋" w:cs="仿宋"/>
          <w:b/>
          <w:bCs/>
        </w:rPr>
        <w:t>程序代码</w:t>
      </w:r>
      <w:r>
        <w:rPr>
          <w:rFonts w:hint="eastAsia" w:ascii="Times New Roman" w:hAnsi="Times New Roman" w:eastAsia="仿宋" w:cs="仿宋"/>
          <w:b/>
          <w:bCs/>
          <w:lang w:eastAsia="zh-CN"/>
        </w:rPr>
        <w:t>”“</w:t>
      </w:r>
      <w:r>
        <w:rPr>
          <w:rFonts w:hint="eastAsia" w:ascii="Times New Roman" w:hAnsi="Times New Roman" w:eastAsia="仿宋" w:cs="仿宋"/>
        </w:rPr>
        <w:t>2024-00536+</w:t>
      </w:r>
      <w:r>
        <w:rPr>
          <w:rFonts w:hint="eastAsia" w:ascii="Times New Roman" w:hAnsi="Times New Roman" w:eastAsia="仿宋" w:cs="仿宋"/>
          <w:b/>
          <w:bCs/>
        </w:rPr>
        <w:t>日志文件</w:t>
      </w:r>
      <w:r>
        <w:rPr>
          <w:rFonts w:hint="eastAsia" w:ascii="Times New Roman" w:hAnsi="Times New Roman" w:eastAsia="仿宋" w:cs="仿宋"/>
        </w:rPr>
        <w:t>”和“2024-00536+</w:t>
      </w:r>
      <w:r>
        <w:rPr>
          <w:rFonts w:hint="eastAsia" w:ascii="Times New Roman" w:hAnsi="Times New Roman" w:eastAsia="仿宋" w:cs="仿宋"/>
          <w:b/>
          <w:bCs/>
        </w:rPr>
        <w:t>说明文档</w:t>
      </w:r>
      <w:r>
        <w:rPr>
          <w:rFonts w:hint="eastAsia" w:ascii="Times New Roman" w:hAnsi="Times New Roman" w:eastAsia="仿宋" w:cs="仿宋"/>
        </w:rPr>
        <w:t>”</w:t>
      </w:r>
      <w:r>
        <w:rPr>
          <w:rFonts w:hint="eastAsia" w:ascii="Times New Roman" w:hAnsi="Times New Roman" w:eastAsia="仿宋" w:cs="仿宋"/>
          <w:lang w:val="en-US" w:eastAsia="zh-CN"/>
        </w:rPr>
        <w:t>三</w:t>
      </w:r>
      <w:r>
        <w:rPr>
          <w:rFonts w:hint="eastAsia" w:ascii="Times New Roman" w:hAnsi="Times New Roman" w:eastAsia="仿宋" w:cs="仿宋"/>
        </w:rPr>
        <w:t>个部分。</w:t>
      </w:r>
    </w:p>
    <w:p w14:paraId="2177075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76" w:lineRule="auto"/>
        <w:textAlignment w:val="auto"/>
        <w:outlineLvl w:val="1"/>
        <w:rPr>
          <w:rFonts w:hint="eastAsia" w:ascii="黑体" w:hAnsi="黑体" w:eastAsia="黑体" w:cs="仿宋"/>
        </w:rPr>
      </w:pPr>
      <w:r>
        <w:rPr>
          <w:rFonts w:hint="eastAsia" w:ascii="黑体" w:hAnsi="黑体" w:eastAsia="黑体" w:cs="仿宋"/>
        </w:rPr>
        <w:t>（</w:t>
      </w:r>
      <w:r>
        <w:rPr>
          <w:rFonts w:hint="eastAsia" w:ascii="黑体" w:hAnsi="黑体" w:eastAsia="黑体" w:cs="仿宋"/>
          <w:lang w:val="en-US" w:eastAsia="zh-CN"/>
        </w:rPr>
        <w:t>一</w:t>
      </w:r>
      <w:r>
        <w:rPr>
          <w:rFonts w:hint="eastAsia" w:ascii="黑体" w:hAnsi="黑体" w:eastAsia="黑体" w:cs="仿宋"/>
        </w:rPr>
        <w:t>）“2024-00536+</w:t>
      </w:r>
      <w:r>
        <w:rPr>
          <w:rFonts w:hint="eastAsia" w:ascii="黑体" w:hAnsi="黑体" w:eastAsia="黑体" w:cs="仿宋"/>
          <w:b/>
          <w:bCs/>
        </w:rPr>
        <w:t>程序代码</w:t>
      </w:r>
      <w:r>
        <w:rPr>
          <w:rFonts w:hint="eastAsia" w:ascii="黑体" w:hAnsi="黑体" w:eastAsia="黑体" w:cs="仿宋"/>
        </w:rPr>
        <w:t>”里面包括“</w:t>
      </w:r>
      <w:r>
        <w:rPr>
          <w:rFonts w:hint="eastAsia" w:ascii="黑体" w:hAnsi="黑体" w:eastAsia="黑体" w:cs="仿宋"/>
          <w:lang w:val="en-US" w:eastAsia="zh-CN"/>
        </w:rPr>
        <w:t>table</w:t>
      </w:r>
      <w:r>
        <w:rPr>
          <w:rFonts w:hint="eastAsia" w:ascii="黑体" w:hAnsi="黑体" w:eastAsia="黑体" w:cs="仿宋"/>
        </w:rPr>
        <w:t>”和“figure”2个文件</w:t>
      </w:r>
      <w:r>
        <w:rPr>
          <w:rFonts w:hint="eastAsia" w:ascii="黑体" w:hAnsi="黑体" w:eastAsia="黑体" w:cs="仿宋"/>
          <w:lang w:val="en-US" w:eastAsia="zh-CN"/>
        </w:rPr>
        <w:t>夹</w:t>
      </w:r>
    </w:p>
    <w:p w14:paraId="774F112C">
      <w:pPr>
        <w:wordWrap w:val="0"/>
        <w:spacing w:line="276" w:lineRule="auto"/>
        <w:outlineLvl w:val="2"/>
        <w:rPr>
          <w:rFonts w:hint="eastAsia" w:ascii="Times New Roman" w:hAnsi="Times New Roman" w:eastAsia="仿宋" w:cs="仿宋"/>
          <w:b/>
          <w:bCs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lang w:val="en-US" w:eastAsia="zh-CN"/>
        </w:rPr>
        <w:t>1.table</w:t>
      </w:r>
    </w:p>
    <w:p w14:paraId="79E39384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“</w:t>
      </w:r>
      <w:r>
        <w:rPr>
          <w:rFonts w:hint="eastAsia" w:ascii="Times New Roman" w:hAnsi="Times New Roman" w:eastAsia="仿宋" w:cs="仿宋"/>
          <w:lang w:val="en-US" w:eastAsia="zh-CN"/>
        </w:rPr>
        <w:t>table</w:t>
      </w:r>
      <w:r>
        <w:rPr>
          <w:rFonts w:hint="eastAsia" w:ascii="仿宋" w:hAnsi="仿宋" w:eastAsia="仿宋" w:cs="仿宋"/>
        </w:rPr>
        <w:t>”</w:t>
      </w:r>
      <w:r>
        <w:rPr>
          <w:rFonts w:hint="eastAsia" w:ascii="Times New Roman" w:hAnsi="Times New Roman" w:eastAsia="仿宋" w:cs="仿宋"/>
        </w:rPr>
        <w:t>是表格</w:t>
      </w:r>
      <w:r>
        <w:rPr>
          <w:rFonts w:hint="eastAsia" w:ascii="Times New Roman" w:hAnsi="Times New Roman" w:eastAsia="仿宋" w:cs="仿宋"/>
          <w:lang w:val="en-US" w:eastAsia="zh-CN"/>
        </w:rPr>
        <w:t>程序的</w:t>
      </w:r>
      <w:r>
        <w:rPr>
          <w:rFonts w:hint="eastAsia" w:ascii="Times New Roman" w:hAnsi="Times New Roman" w:eastAsia="仿宋" w:cs="仿宋"/>
        </w:rPr>
        <w:t>文件</w:t>
      </w:r>
      <w:r>
        <w:rPr>
          <w:rFonts w:hint="eastAsia" w:ascii="Times New Roman" w:hAnsi="Times New Roman" w:eastAsia="仿宋" w:cs="仿宋"/>
          <w:lang w:val="en-US" w:eastAsia="zh-CN"/>
        </w:rPr>
        <w:t>夹</w:t>
      </w:r>
      <w:r>
        <w:rPr>
          <w:rFonts w:hint="eastAsia" w:ascii="Times New Roman" w:hAnsi="Times New Roman" w:eastAsia="仿宋" w:cs="仿宋"/>
        </w:rPr>
        <w:t>，</w:t>
      </w:r>
      <w:r>
        <w:rPr>
          <w:rFonts w:hint="eastAsia" w:ascii="Times New Roman" w:hAnsi="Times New Roman" w:eastAsia="仿宋" w:cs="仿宋"/>
          <w:lang w:val="en-US" w:eastAsia="zh-CN"/>
        </w:rPr>
        <w:t>共有13个do文档，分别对应不同表格的生成过程：</w:t>
      </w:r>
    </w:p>
    <w:p w14:paraId="71E91896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（1）</w:t>
      </w:r>
      <w:r>
        <w:rPr>
          <w:rFonts w:hint="default" w:ascii="Times New Roman" w:hAnsi="Times New Roman" w:eastAsia="仿宋" w:cs="仿宋"/>
          <w:lang w:val="en-US" w:eastAsia="zh-CN"/>
        </w:rPr>
        <w:t>表1.do、表2.do、表3.do 分别对应正文中的表1、2、3，涵盖</w:t>
      </w:r>
      <w:r>
        <w:rPr>
          <w:rFonts w:hint="eastAsia" w:ascii="Times New Roman" w:hAnsi="Times New Roman" w:eastAsia="仿宋" w:cs="仿宋"/>
          <w:lang w:val="en-US" w:eastAsia="zh-CN"/>
        </w:rPr>
        <w:t>统计描述、</w:t>
      </w:r>
      <w:r>
        <w:rPr>
          <w:rFonts w:hint="default" w:ascii="Times New Roman" w:hAnsi="Times New Roman" w:eastAsia="仿宋" w:cs="仿宋"/>
          <w:lang w:val="en-US" w:eastAsia="zh-CN"/>
        </w:rPr>
        <w:t>基准回归与</w:t>
      </w:r>
      <w:r>
        <w:rPr>
          <w:rFonts w:hint="eastAsia" w:ascii="Times New Roman" w:hAnsi="Times New Roman" w:eastAsia="仿宋" w:cs="仿宋"/>
          <w:lang w:val="en-US" w:eastAsia="zh-CN"/>
        </w:rPr>
        <w:t>机制分析</w:t>
      </w:r>
      <w:r>
        <w:rPr>
          <w:rFonts w:hint="default" w:ascii="Times New Roman" w:hAnsi="Times New Roman" w:eastAsia="仿宋" w:cs="仿宋"/>
          <w:lang w:val="en-US" w:eastAsia="zh-CN"/>
        </w:rPr>
        <w:t>的实证结果。</w:t>
      </w:r>
    </w:p>
    <w:p w14:paraId="22A74DFA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eastAsia="zh-CN"/>
        </w:rPr>
        <w:t>（</w:t>
      </w:r>
      <w:r>
        <w:rPr>
          <w:rFonts w:hint="eastAsia" w:ascii="Times New Roman" w:hAnsi="Times New Roman" w:eastAsia="仿宋" w:cs="仿宋"/>
          <w:lang w:val="en-US" w:eastAsia="zh-CN"/>
        </w:rPr>
        <w:t>2</w:t>
      </w:r>
      <w:r>
        <w:rPr>
          <w:rFonts w:hint="eastAsia" w:ascii="Times New Roman" w:hAnsi="Times New Roman" w:eastAsia="仿宋" w:cs="仿宋"/>
          <w:lang w:eastAsia="zh-CN"/>
        </w:rPr>
        <w:t>）表Ⅱ1.do至表Ⅱ8.do对应附录Ⅱ</w:t>
      </w:r>
      <w:r>
        <w:rPr>
          <w:rFonts w:hint="eastAsia" w:ascii="Times New Roman" w:hAnsi="Times New Roman" w:eastAsia="仿宋" w:cs="仿宋"/>
          <w:lang w:val="en-US" w:eastAsia="zh-CN"/>
        </w:rPr>
        <w:t>稳健性检验分析</w:t>
      </w:r>
      <w:r>
        <w:rPr>
          <w:rFonts w:hint="eastAsia" w:ascii="Times New Roman" w:hAnsi="Times New Roman" w:eastAsia="仿宋" w:cs="仿宋"/>
          <w:lang w:eastAsia="zh-CN"/>
        </w:rPr>
        <w:t>中的8张</w:t>
      </w:r>
      <w:r>
        <w:rPr>
          <w:rFonts w:hint="eastAsia" w:ascii="Times New Roman" w:hAnsi="Times New Roman" w:eastAsia="仿宋" w:cs="仿宋"/>
          <w:lang w:val="en-US" w:eastAsia="zh-CN"/>
        </w:rPr>
        <w:t>表</w:t>
      </w:r>
      <w:r>
        <w:rPr>
          <w:rFonts w:hint="default" w:ascii="Times New Roman" w:hAnsi="Times New Roman" w:eastAsia="仿宋" w:cs="仿宋"/>
          <w:lang w:val="en-US" w:eastAsia="zh-CN"/>
        </w:rPr>
        <w:t>格</w:t>
      </w:r>
      <w:r>
        <w:rPr>
          <w:rFonts w:hint="eastAsia" w:ascii="Times New Roman" w:hAnsi="Times New Roman" w:eastAsia="仿宋" w:cs="仿宋"/>
          <w:lang w:val="en-US" w:eastAsia="zh-CN"/>
        </w:rPr>
        <w:t>，即</w:t>
      </w:r>
      <w:r>
        <w:rPr>
          <w:rFonts w:hint="eastAsia" w:ascii="Times New Roman" w:hAnsi="Times New Roman" w:eastAsia="仿宋" w:cs="仿宋"/>
          <w:lang w:eastAsia="zh-CN"/>
        </w:rPr>
        <w:t>表Ⅱ1</w:t>
      </w:r>
      <w:r>
        <w:rPr>
          <w:rFonts w:hint="eastAsia" w:ascii="Times New Roman" w:hAnsi="Times New Roman" w:eastAsia="仿宋" w:cs="仿宋"/>
          <w:lang w:val="en-US" w:eastAsia="zh-CN"/>
        </w:rPr>
        <w:t>—</w:t>
      </w:r>
      <w:r>
        <w:rPr>
          <w:rFonts w:hint="eastAsia" w:ascii="Times New Roman" w:hAnsi="Times New Roman" w:eastAsia="仿宋" w:cs="仿宋"/>
          <w:lang w:eastAsia="zh-CN"/>
        </w:rPr>
        <w:t>Ⅱ</w:t>
      </w:r>
      <w:r>
        <w:rPr>
          <w:rFonts w:hint="eastAsia" w:ascii="Times New Roman" w:hAnsi="Times New Roman" w:eastAsia="仿宋" w:cs="仿宋"/>
          <w:lang w:val="en-US" w:eastAsia="zh-CN"/>
        </w:rPr>
        <w:t>8。</w:t>
      </w:r>
    </w:p>
    <w:p w14:paraId="7337A000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（3）表A1.do</w:t>
      </w:r>
      <w:r>
        <w:rPr>
          <w:rFonts w:hint="eastAsia" w:ascii="Times New Roman" w:hAnsi="Times New Roman" w:eastAsia="仿宋" w:cs="仿宋"/>
          <w:lang w:eastAsia="zh-CN"/>
        </w:rPr>
        <w:t>对应附录Ⅰ</w:t>
      </w:r>
      <w:r>
        <w:rPr>
          <w:rFonts w:hint="eastAsia" w:ascii="Times New Roman" w:hAnsi="Times New Roman" w:eastAsia="仿宋" w:cs="仿宋"/>
          <w:lang w:val="en-US" w:eastAsia="zh-CN"/>
        </w:rPr>
        <w:t>的DID分析结果表A1。</w:t>
      </w:r>
    </w:p>
    <w:p w14:paraId="50765320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（4）表A2.do</w:t>
      </w:r>
      <w:r>
        <w:rPr>
          <w:rFonts w:hint="eastAsia" w:ascii="Times New Roman" w:hAnsi="Times New Roman" w:eastAsia="仿宋" w:cs="仿宋"/>
          <w:lang w:eastAsia="zh-CN"/>
        </w:rPr>
        <w:t>对应</w:t>
      </w:r>
      <w:r>
        <w:rPr>
          <w:rFonts w:hint="eastAsia" w:ascii="Times New Roman" w:hAnsi="Times New Roman" w:eastAsia="仿宋" w:cs="仿宋"/>
          <w:lang w:val="en-US" w:eastAsia="zh-CN"/>
        </w:rPr>
        <w:t>附录Ⅳ的表A2。</w:t>
      </w:r>
    </w:p>
    <w:p w14:paraId="50D925FC">
      <w:pPr>
        <w:wordWrap w:val="0"/>
        <w:spacing w:line="276" w:lineRule="auto"/>
        <w:outlineLvl w:val="2"/>
        <w:rPr>
          <w:rFonts w:hint="eastAsia" w:ascii="Times New Roman" w:hAnsi="Times New Roman" w:eastAsia="仿宋" w:cs="仿宋"/>
          <w:b/>
          <w:bCs/>
          <w:lang w:val="en-US" w:eastAsia="zh-CN"/>
        </w:rPr>
      </w:pPr>
      <w:r>
        <w:rPr>
          <w:rFonts w:hint="eastAsia" w:ascii="Times New Roman" w:hAnsi="Times New Roman" w:eastAsia="仿宋" w:cs="仿宋"/>
          <w:b/>
          <w:bCs/>
          <w:lang w:val="en-US" w:eastAsia="zh-CN"/>
        </w:rPr>
        <w:t>2.figure</w:t>
      </w:r>
    </w:p>
    <w:p w14:paraId="7305A5BB">
      <w:pPr>
        <w:wordWrap w:val="0"/>
        <w:spacing w:line="276" w:lineRule="auto"/>
        <w:ind w:firstLine="420" w:firstLineChars="200"/>
        <w:rPr>
          <w:rFonts w:hint="default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eastAsia="zh-CN"/>
        </w:rPr>
        <w:t>“</w:t>
      </w:r>
      <w:r>
        <w:rPr>
          <w:rFonts w:hint="eastAsia" w:ascii="Times New Roman" w:hAnsi="Times New Roman" w:eastAsia="仿宋" w:cs="仿宋"/>
          <w:lang w:val="en-US" w:eastAsia="zh-CN"/>
        </w:rPr>
        <w:t>figure</w:t>
      </w:r>
      <w:r>
        <w:rPr>
          <w:rFonts w:hint="eastAsia" w:ascii="Times New Roman" w:hAnsi="Times New Roman" w:eastAsia="仿宋" w:cs="仿宋"/>
          <w:lang w:eastAsia="zh-CN"/>
        </w:rPr>
        <w:t>”</w:t>
      </w:r>
      <w:r>
        <w:rPr>
          <w:rFonts w:hint="eastAsia" w:ascii="Times New Roman" w:hAnsi="Times New Roman" w:eastAsia="仿宋" w:cs="仿宋"/>
          <w:lang w:val="en-US" w:eastAsia="zh-CN"/>
        </w:rPr>
        <w:t>是</w:t>
      </w:r>
      <w:r>
        <w:rPr>
          <w:rFonts w:hint="eastAsia" w:ascii="Times New Roman" w:hAnsi="Times New Roman" w:eastAsia="仿宋" w:cs="仿宋"/>
        </w:rPr>
        <w:t>图运行文件</w:t>
      </w:r>
      <w:r>
        <w:rPr>
          <w:rFonts w:hint="eastAsia" w:ascii="Times New Roman" w:hAnsi="Times New Roman" w:eastAsia="仿宋" w:cs="仿宋"/>
          <w:lang w:val="en-US" w:eastAsia="zh-CN"/>
        </w:rPr>
        <w:t>夹，共有10个do文档，分别对应不同图的生成过程：</w:t>
      </w:r>
    </w:p>
    <w:p w14:paraId="17C19D8E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（1）</w:t>
      </w:r>
      <w:r>
        <w:rPr>
          <w:rFonts w:hint="default" w:ascii="Times New Roman" w:hAnsi="Times New Roman" w:eastAsia="仿宋" w:cs="仿宋"/>
          <w:lang w:val="en-US" w:eastAsia="zh-CN"/>
        </w:rPr>
        <w:t>图1.do、图3.do、图4.do与图5.do对应正文中的图1</w:t>
      </w:r>
      <w:r>
        <w:rPr>
          <w:rFonts w:hint="eastAsia" w:ascii="Times New Roman" w:hAnsi="Times New Roman" w:eastAsia="仿宋" w:cs="仿宋"/>
        </w:rPr>
        <w:t>、3</w:t>
      </w:r>
      <w:r>
        <w:rPr>
          <w:rFonts w:hint="eastAsia" w:ascii="Times New Roman" w:hAnsi="Times New Roman" w:eastAsia="仿宋" w:cs="仿宋"/>
          <w:lang w:val="en-US" w:eastAsia="zh-CN"/>
        </w:rPr>
        <w:t>、4和</w:t>
      </w:r>
      <w:r>
        <w:rPr>
          <w:rFonts w:hint="default" w:ascii="Times New Roman" w:hAnsi="Times New Roman" w:eastAsia="仿宋" w:cs="仿宋"/>
          <w:lang w:val="en-US" w:eastAsia="zh-CN"/>
        </w:rPr>
        <w:t>5</w:t>
      </w:r>
      <w:r>
        <w:rPr>
          <w:rFonts w:hint="eastAsia" w:ascii="Times New Roman" w:hAnsi="Times New Roman" w:eastAsia="仿宋" w:cs="仿宋"/>
          <w:lang w:val="en-US" w:eastAsia="zh-CN"/>
        </w:rPr>
        <w:t>。</w:t>
      </w:r>
    </w:p>
    <w:p w14:paraId="0CD92E28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（2）图Ⅱ1.do对应附录Ⅱ的图Ⅱ1。</w:t>
      </w:r>
    </w:p>
    <w:p w14:paraId="6BFA8B9F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（3）图Ⅲ.do对应附录Ⅲ的三个图，即图Ⅲ1—Ⅲ3。</w:t>
      </w:r>
    </w:p>
    <w:p w14:paraId="6899BA9F">
      <w:pPr>
        <w:wordWrap w:val="0"/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  <w:lang w:val="en-US" w:eastAsia="zh-CN"/>
        </w:rPr>
        <w:t>（4）图A1.do至图A4.do对应附录Ⅴ中图A1—A4的输出。</w:t>
      </w:r>
    </w:p>
    <w:p w14:paraId="4A3EBB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76" w:lineRule="auto"/>
        <w:textAlignment w:val="auto"/>
        <w:outlineLvl w:val="1"/>
        <w:rPr>
          <w:rFonts w:hint="default" w:ascii="Times New Roman" w:hAnsi="Times New Roman" w:eastAsia="仿宋" w:cs="仿宋"/>
          <w:lang w:val="en-US" w:eastAsia="zh-CN"/>
        </w:rPr>
      </w:pPr>
      <w:r>
        <w:rPr>
          <w:rFonts w:hint="eastAsia" w:ascii="黑体" w:hAnsi="黑体" w:eastAsia="黑体" w:cs="仿宋"/>
        </w:rPr>
        <w:t>（</w:t>
      </w:r>
      <w:r>
        <w:rPr>
          <w:rFonts w:hint="eastAsia" w:ascii="黑体" w:hAnsi="黑体" w:eastAsia="黑体" w:cs="仿宋"/>
          <w:lang w:val="en-US" w:eastAsia="zh-CN"/>
        </w:rPr>
        <w:t>二</w:t>
      </w:r>
      <w:r>
        <w:rPr>
          <w:rFonts w:hint="eastAsia" w:ascii="黑体" w:hAnsi="黑体" w:eastAsia="黑体" w:cs="仿宋"/>
        </w:rPr>
        <w:t>）“2024-00536+</w:t>
      </w:r>
      <w:r>
        <w:rPr>
          <w:rFonts w:hint="eastAsia" w:ascii="黑体" w:hAnsi="黑体" w:eastAsia="黑体" w:cs="仿宋"/>
          <w:b/>
          <w:bCs/>
        </w:rPr>
        <w:t>日志文件</w:t>
      </w:r>
      <w:r>
        <w:rPr>
          <w:rFonts w:hint="eastAsia" w:ascii="黑体" w:hAnsi="黑体" w:eastAsia="黑体" w:cs="仿宋"/>
        </w:rPr>
        <w:t>”</w:t>
      </w:r>
    </w:p>
    <w:p w14:paraId="53A4DD7D">
      <w:pPr>
        <w:spacing w:line="276" w:lineRule="auto"/>
        <w:ind w:firstLine="420" w:firstLineChars="200"/>
        <w:rPr>
          <w:rFonts w:hint="eastAsia" w:ascii="Times New Roman" w:hAnsi="Times New Roman" w:eastAsia="仿宋" w:cs="仿宋"/>
          <w:lang w:val="en-US" w:eastAsia="zh-CN"/>
        </w:rPr>
      </w:pPr>
      <w:r>
        <w:rPr>
          <w:rFonts w:hint="eastAsia" w:ascii="Times New Roman" w:hAnsi="Times New Roman" w:eastAsia="仿宋" w:cs="仿宋"/>
        </w:rPr>
        <w:t>“2024-00536+</w:t>
      </w:r>
      <w:r>
        <w:rPr>
          <w:rFonts w:hint="eastAsia" w:ascii="Times New Roman" w:hAnsi="Times New Roman" w:eastAsia="仿宋" w:cs="仿宋"/>
          <w:b/>
          <w:bCs/>
        </w:rPr>
        <w:t>日志文件</w:t>
      </w:r>
      <w:r>
        <w:rPr>
          <w:rFonts w:hint="eastAsia" w:ascii="Times New Roman" w:hAnsi="Times New Roman" w:eastAsia="仿宋" w:cs="仿宋"/>
        </w:rPr>
        <w:t>”中</w:t>
      </w:r>
      <w:r>
        <w:rPr>
          <w:rFonts w:hint="eastAsia" w:ascii="Times New Roman" w:hAnsi="Times New Roman" w:eastAsia="仿宋" w:cs="仿宋"/>
          <w:lang w:eastAsia="zh-CN"/>
        </w:rPr>
        <w:t>，</w:t>
      </w:r>
      <w:r>
        <w:rPr>
          <w:rFonts w:hint="eastAsia" w:ascii="Times New Roman" w:hAnsi="Times New Roman" w:eastAsia="仿宋" w:cs="仿宋"/>
          <w:lang w:val="en-US" w:eastAsia="zh-CN"/>
        </w:rPr>
        <w:t>存入了“2024-00536+程序代码”中所有的结果输出。其中，正文表1是由“2024-00536+日志文件”中的相关表格手工加工组合而成。</w:t>
      </w:r>
    </w:p>
    <w:p w14:paraId="1DE0F35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76" w:lineRule="auto"/>
        <w:textAlignment w:val="auto"/>
        <w:outlineLvl w:val="1"/>
        <w:rPr>
          <w:rFonts w:hint="default" w:ascii="Times New Roman" w:hAnsi="Times New Roman" w:eastAsia="仿宋" w:cs="仿宋"/>
          <w:lang w:val="en-US" w:eastAsia="zh-CN"/>
        </w:rPr>
      </w:pPr>
      <w:r>
        <w:rPr>
          <w:rFonts w:hint="eastAsia" w:ascii="黑体" w:hAnsi="黑体" w:eastAsia="黑体" w:cs="仿宋"/>
        </w:rPr>
        <w:t>（</w:t>
      </w:r>
      <w:r>
        <w:rPr>
          <w:rFonts w:hint="eastAsia" w:ascii="黑体" w:hAnsi="黑体" w:eastAsia="黑体" w:cs="仿宋"/>
          <w:lang w:val="en-US" w:eastAsia="zh-CN"/>
        </w:rPr>
        <w:t>三</w:t>
      </w:r>
      <w:r>
        <w:rPr>
          <w:rFonts w:hint="eastAsia" w:ascii="黑体" w:hAnsi="黑体" w:eastAsia="黑体" w:cs="仿宋"/>
        </w:rPr>
        <w:t>）“2024-00536+</w:t>
      </w:r>
      <w:r>
        <w:rPr>
          <w:rFonts w:hint="eastAsia" w:ascii="黑体" w:hAnsi="黑体" w:eastAsia="黑体" w:cs="仿宋"/>
          <w:b/>
          <w:bCs/>
        </w:rPr>
        <w:t>说明文件</w:t>
      </w:r>
      <w:r>
        <w:rPr>
          <w:rFonts w:hint="eastAsia" w:ascii="黑体" w:hAnsi="黑体" w:eastAsia="黑体" w:cs="仿宋"/>
        </w:rPr>
        <w:t>”</w:t>
      </w:r>
    </w:p>
    <w:p w14:paraId="5E9F3A5C">
      <w:pPr>
        <w:spacing w:line="276" w:lineRule="auto"/>
        <w:ind w:firstLine="420" w:firstLineChars="200"/>
        <w:rPr>
          <w:rFonts w:hint="eastAsia" w:ascii="Times New Roman" w:hAnsi="Times New Roman" w:eastAsia="仿宋" w:cs="仿宋"/>
        </w:rPr>
      </w:pPr>
      <w:r>
        <w:rPr>
          <w:rFonts w:hint="eastAsia" w:ascii="Times New Roman" w:hAnsi="Times New Roman" w:eastAsia="仿宋" w:cs="仿宋"/>
        </w:rPr>
        <w:t>“2024-00536+</w:t>
      </w:r>
      <w:r>
        <w:rPr>
          <w:rFonts w:hint="eastAsia" w:ascii="Times New Roman" w:hAnsi="Times New Roman" w:eastAsia="仿宋" w:cs="仿宋"/>
          <w:b/>
          <w:bCs/>
        </w:rPr>
        <w:t>说明文档</w:t>
      </w:r>
      <w:r>
        <w:rPr>
          <w:rFonts w:hint="eastAsia" w:ascii="Times New Roman" w:hAnsi="Times New Roman" w:eastAsia="仿宋" w:cs="仿宋"/>
        </w:rPr>
        <w:t>”即是本说明文档。</w:t>
      </w:r>
    </w:p>
    <w:p w14:paraId="5AEDE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76" w:lineRule="auto"/>
        <w:textAlignment w:val="auto"/>
        <w:outlineLvl w:val="0"/>
        <w:rPr>
          <w:rFonts w:hint="default" w:ascii="黑体" w:hAnsi="黑体" w:eastAsia="黑体" w:cs="仿宋"/>
          <w:lang w:val="en-US" w:eastAsia="zh-CN"/>
        </w:rPr>
      </w:pPr>
      <w:r>
        <w:rPr>
          <w:rFonts w:hint="eastAsia" w:ascii="黑体" w:hAnsi="黑体" w:eastAsia="黑体" w:cs="仿宋"/>
          <w:lang w:val="en-US" w:eastAsia="zh-CN"/>
        </w:rPr>
        <w:t>二、</w:t>
      </w:r>
      <w:r>
        <w:rPr>
          <w:rFonts w:hint="eastAsia" w:ascii="黑体" w:hAnsi="黑体" w:eastAsia="黑体" w:cs="仿宋"/>
        </w:rPr>
        <w:t>数据来源</w:t>
      </w:r>
      <w:r>
        <w:rPr>
          <w:rFonts w:hint="eastAsia" w:ascii="黑体" w:hAnsi="黑体" w:eastAsia="黑体" w:cs="仿宋"/>
          <w:lang w:val="en-US" w:eastAsia="zh-CN"/>
        </w:rPr>
        <w:t>与说明</w:t>
      </w:r>
    </w:p>
    <w:p w14:paraId="583B75B8">
      <w:pPr>
        <w:spacing w:line="276" w:lineRule="auto"/>
        <w:ind w:firstLine="420" w:firstLineChars="200"/>
        <w:rPr>
          <w:rFonts w:hint="eastAsia" w:ascii="Times New Roman" w:hAnsi="Times New Roman" w:eastAsia="仿宋" w:cs="仿宋"/>
        </w:rPr>
      </w:pPr>
      <w:r>
        <w:rPr>
          <w:rFonts w:hint="eastAsia" w:ascii="Times New Roman" w:hAnsi="Times New Roman" w:eastAsia="仿宋" w:cs="仿宋"/>
        </w:rPr>
        <w:t>本文基于1994—2006年中国县域层面的面板数据开展实证研究。样本期间的设定兼顾政策制度背景与数据可比性</w:t>
      </w:r>
      <w:r>
        <w:rPr>
          <w:rFonts w:hint="eastAsia" w:ascii="Times New Roman" w:hAnsi="Times New Roman" w:eastAsia="仿宋" w:cs="仿宋"/>
          <w:lang w:eastAsia="zh-CN"/>
        </w:rPr>
        <w:t>。</w:t>
      </w:r>
      <w:r>
        <w:rPr>
          <w:rFonts w:hint="eastAsia" w:ascii="Times New Roman" w:hAnsi="Times New Roman" w:eastAsia="仿宋" w:cs="仿宋"/>
        </w:rPr>
        <w:t>首先，样本期的上限设定为2006年。自2007年起，国家正式实施政府收支分类改革，对财政支出科目体系进行了系统性调整。改革后的支出分类与既有分类之间存在严重不可比，若将2007年及之后数据纳入分析，可能引入结构性误差。其次，样本期的下限设定为1994年，即中国分税制改革的起始年份。已有大量文献表明，分税制改革对地方政府的支出倾向、激励机制等方面具有深远影响。为排除改革前旧财政体制对实证识别的干扰，本文将1994年设为样本期起点。</w:t>
      </w:r>
    </w:p>
    <w:p w14:paraId="25D27952">
      <w:pPr>
        <w:spacing w:line="276" w:lineRule="auto"/>
        <w:ind w:firstLine="420" w:firstLineChars="200"/>
        <w:rPr>
          <w:rFonts w:hint="eastAsia" w:ascii="Times New Roman" w:hAnsi="Times New Roman" w:eastAsia="仿宋" w:cs="仿宋"/>
        </w:rPr>
      </w:pPr>
      <w:r>
        <w:rPr>
          <w:rFonts w:hint="eastAsia" w:ascii="Times New Roman" w:hAnsi="Times New Roman" w:eastAsia="仿宋" w:cs="仿宋"/>
        </w:rPr>
        <w:t>为保证数据质量与识别的准确性，本文在样本处理上作出如下调整：</w:t>
      </w:r>
      <w:r>
        <w:rPr>
          <w:rFonts w:hint="eastAsia" w:ascii="Times New Roman" w:hAnsi="Times New Roman" w:eastAsia="仿宋" w:cs="仿宋"/>
          <w:lang w:val="en-US" w:eastAsia="zh-CN"/>
        </w:rPr>
        <w:t>一是</w:t>
      </w:r>
      <w:r>
        <w:rPr>
          <w:rFonts w:hint="eastAsia" w:ascii="Times New Roman" w:hAnsi="Times New Roman" w:eastAsia="仿宋" w:cs="仿宋"/>
        </w:rPr>
        <w:t>剔除西藏地区样本，因相关变量缺失严重，数据无法满足实证要求；</w:t>
      </w:r>
      <w:r>
        <w:rPr>
          <w:rFonts w:hint="eastAsia" w:ascii="Times New Roman" w:hAnsi="Times New Roman" w:eastAsia="仿宋" w:cs="仿宋"/>
          <w:lang w:val="en-US" w:eastAsia="zh-CN"/>
        </w:rPr>
        <w:t>二是</w:t>
      </w:r>
      <w:r>
        <w:rPr>
          <w:rFonts w:hint="eastAsia" w:ascii="Times New Roman" w:hAnsi="Times New Roman" w:eastAsia="仿宋" w:cs="仿宋"/>
        </w:rPr>
        <w:t>剔除内蒙古自治区部分样本，主要考虑其边界两侧县域在人口结构、民族构成等方面存在显著差异，不符合</w:t>
      </w:r>
      <w:r>
        <w:rPr>
          <w:rFonts w:hint="eastAsia" w:ascii="Times New Roman" w:hAnsi="Times New Roman" w:eastAsia="仿宋" w:cs="仿宋"/>
          <w:lang w:val="en-US" w:eastAsia="zh-CN"/>
        </w:rPr>
        <w:t>RD</w:t>
      </w:r>
      <w:r>
        <w:rPr>
          <w:rFonts w:hint="eastAsia" w:ascii="Times New Roman" w:hAnsi="Times New Roman" w:eastAsia="仿宋" w:cs="仿宋"/>
        </w:rPr>
        <w:t>识别设计的</w:t>
      </w:r>
      <w:r>
        <w:rPr>
          <w:rFonts w:hint="eastAsia" w:ascii="Times New Roman" w:hAnsi="Times New Roman" w:eastAsia="仿宋" w:cs="仿宋"/>
          <w:lang w:val="en-US" w:eastAsia="zh-CN"/>
        </w:rPr>
        <w:t>平滑性</w:t>
      </w:r>
      <w:r>
        <w:rPr>
          <w:rFonts w:hint="eastAsia" w:ascii="Times New Roman" w:hAnsi="Times New Roman" w:eastAsia="仿宋" w:cs="仿宋"/>
        </w:rPr>
        <w:t>假设；</w:t>
      </w:r>
      <w:r>
        <w:rPr>
          <w:rFonts w:hint="eastAsia" w:ascii="Times New Roman" w:hAnsi="Times New Roman" w:eastAsia="仿宋" w:cs="仿宋"/>
          <w:lang w:val="en-US" w:eastAsia="zh-CN"/>
        </w:rPr>
        <w:t>三是</w:t>
      </w:r>
      <w:r>
        <w:rPr>
          <w:rFonts w:hint="eastAsia" w:ascii="Times New Roman" w:hAnsi="Times New Roman" w:eastAsia="仿宋" w:cs="仿宋"/>
        </w:rPr>
        <w:t>剔除延边朝鲜族自治州样本，因其与西部大开发政策的边界并不直接接壤，难以纳入断点设计分析框架中。鉴于预算数据的可得性限制，本文主要聚焦于基建、支农、教育、行政管理等支出科目进行分析。相关原始数据的来源如下：</w:t>
      </w:r>
      <w:r>
        <w:rPr>
          <w:rFonts w:hint="eastAsia" w:ascii="Times New Roman" w:hAnsi="Times New Roman" w:eastAsia="仿宋" w:cs="仿宋"/>
          <w:lang w:eastAsia="zh-CN"/>
        </w:rPr>
        <w:t>（</w:t>
      </w:r>
      <w:r>
        <w:rPr>
          <w:rFonts w:hint="eastAsia" w:ascii="Times New Roman" w:hAnsi="Times New Roman" w:eastAsia="仿宋" w:cs="仿宋"/>
          <w:lang w:val="en-US" w:eastAsia="zh-CN"/>
        </w:rPr>
        <w:t>1</w:t>
      </w:r>
      <w:r>
        <w:rPr>
          <w:rFonts w:hint="eastAsia" w:ascii="Times New Roman" w:hAnsi="Times New Roman" w:eastAsia="仿宋" w:cs="仿宋"/>
          <w:lang w:eastAsia="zh-CN"/>
        </w:rPr>
        <w:t>）</w:t>
      </w:r>
      <w:r>
        <w:rPr>
          <w:rFonts w:hint="eastAsia" w:ascii="Times New Roman" w:hAnsi="Times New Roman" w:eastAsia="仿宋" w:cs="仿宋"/>
        </w:rPr>
        <w:t>财政收支数据：</w:t>
      </w:r>
      <w:r>
        <w:rPr>
          <w:rFonts w:hint="eastAsia" w:ascii="Times New Roman" w:hAnsi="Times New Roman" w:eastAsia="仿宋" w:cs="仿宋"/>
          <w:lang w:val="en-US" w:eastAsia="zh-CN"/>
        </w:rPr>
        <w:t>县级数据，整理</w:t>
      </w:r>
      <w:r>
        <w:rPr>
          <w:rFonts w:hint="eastAsia" w:ascii="Times New Roman" w:hAnsi="Times New Roman" w:eastAsia="仿宋" w:cs="仿宋"/>
        </w:rPr>
        <w:t>自各年份的《全国地市县财政统计资料》</w:t>
      </w:r>
      <w:r>
        <w:rPr>
          <w:rFonts w:hint="eastAsia" w:ascii="Times New Roman" w:hAnsi="Times New Roman" w:eastAsia="仿宋" w:cs="仿宋"/>
          <w:lang w:val="en-US" w:eastAsia="zh-CN"/>
        </w:rPr>
        <w:t>。</w:t>
      </w:r>
      <w:r>
        <w:rPr>
          <w:rFonts w:hint="eastAsia" w:ascii="Times New Roman" w:hAnsi="Times New Roman" w:eastAsia="仿宋" w:cs="仿宋"/>
          <w:lang w:eastAsia="zh-CN"/>
        </w:rPr>
        <w:t>（</w:t>
      </w:r>
      <w:r>
        <w:rPr>
          <w:rFonts w:hint="eastAsia" w:ascii="Times New Roman" w:hAnsi="Times New Roman" w:eastAsia="仿宋" w:cs="仿宋"/>
          <w:lang w:val="en-US" w:eastAsia="zh-CN"/>
        </w:rPr>
        <w:t>2</w:t>
      </w:r>
      <w:r>
        <w:rPr>
          <w:rFonts w:hint="eastAsia" w:ascii="Times New Roman" w:hAnsi="Times New Roman" w:eastAsia="仿宋" w:cs="仿宋"/>
          <w:lang w:eastAsia="zh-CN"/>
        </w:rPr>
        <w:t>）</w:t>
      </w:r>
      <w:r>
        <w:rPr>
          <w:rFonts w:hint="eastAsia" w:ascii="Times New Roman" w:hAnsi="Times New Roman" w:eastAsia="仿宋" w:cs="仿宋"/>
        </w:rPr>
        <w:t>地理信息数据：基于ArcGIS 软件获得；</w:t>
      </w:r>
      <w:r>
        <w:rPr>
          <w:rFonts w:hint="eastAsia" w:ascii="Times New Roman" w:hAnsi="Times New Roman" w:eastAsia="仿宋" w:cs="仿宋"/>
          <w:lang w:eastAsia="zh-CN"/>
        </w:rPr>
        <w:t>（</w:t>
      </w:r>
      <w:r>
        <w:rPr>
          <w:rFonts w:hint="eastAsia" w:ascii="Times New Roman" w:hAnsi="Times New Roman" w:eastAsia="仿宋" w:cs="仿宋"/>
          <w:lang w:val="en-US" w:eastAsia="zh-CN"/>
        </w:rPr>
        <w:t>3</w:t>
      </w:r>
      <w:r>
        <w:rPr>
          <w:rFonts w:hint="eastAsia" w:ascii="Times New Roman" w:hAnsi="Times New Roman" w:eastAsia="仿宋" w:cs="仿宋"/>
          <w:lang w:eastAsia="zh-CN"/>
        </w:rPr>
        <w:t>）</w:t>
      </w:r>
      <w:r>
        <w:rPr>
          <w:rFonts w:hint="eastAsia" w:ascii="Times New Roman" w:hAnsi="Times New Roman" w:eastAsia="仿宋" w:cs="仿宋"/>
        </w:rPr>
        <w:t>宏观控制变量（GDP、人口）：</w:t>
      </w:r>
      <w:r>
        <w:rPr>
          <w:rFonts w:hint="eastAsia" w:ascii="Times New Roman" w:hAnsi="Times New Roman" w:eastAsia="仿宋" w:cs="仿宋"/>
          <w:lang w:val="en-US" w:eastAsia="zh-CN"/>
        </w:rPr>
        <w:t>主要</w:t>
      </w:r>
      <w:r>
        <w:rPr>
          <w:rFonts w:hint="eastAsia" w:ascii="Times New Roman" w:hAnsi="Times New Roman" w:eastAsia="仿宋" w:cs="仿宋"/>
        </w:rPr>
        <w:t>来自</w:t>
      </w:r>
      <w:r>
        <w:rPr>
          <w:rFonts w:hint="eastAsia" w:ascii="Times New Roman" w:hAnsi="Times New Roman" w:eastAsia="仿宋" w:cs="仿宋"/>
          <w:lang w:val="en-US" w:eastAsia="zh-CN"/>
        </w:rPr>
        <w:t>历年</w:t>
      </w:r>
      <w:r>
        <w:rPr>
          <w:rFonts w:hint="eastAsia" w:ascii="Times New Roman" w:hAnsi="Times New Roman" w:eastAsia="仿宋" w:cs="仿宋"/>
        </w:rPr>
        <w:t>《中国区域统计年鉴》</w:t>
      </w:r>
      <w:r>
        <w:rPr>
          <w:rFonts w:hint="eastAsia" w:ascii="Times New Roman" w:hAnsi="Times New Roman" w:eastAsia="仿宋" w:cs="仿宋"/>
          <w:lang w:eastAsia="zh-CN"/>
        </w:rPr>
        <w:t>，</w:t>
      </w:r>
      <w:r>
        <w:rPr>
          <w:rFonts w:hint="eastAsia" w:ascii="Times New Roman" w:hAnsi="Times New Roman" w:eastAsia="仿宋" w:cs="仿宋"/>
          <w:lang w:val="en-US" w:eastAsia="zh-CN"/>
        </w:rPr>
        <w:t>对于部分缺失数据，本文通过整理</w:t>
      </w:r>
      <w:r>
        <w:rPr>
          <w:rFonts w:hint="eastAsia" w:ascii="Times New Roman" w:hAnsi="Times New Roman" w:eastAsia="仿宋" w:cs="仿宋"/>
        </w:rPr>
        <w:t>各省、市统计年鉴</w:t>
      </w:r>
      <w:r>
        <w:rPr>
          <w:rFonts w:hint="eastAsia" w:ascii="Times New Roman" w:hAnsi="Times New Roman" w:eastAsia="仿宋" w:cs="仿宋"/>
          <w:lang w:val="en-US" w:eastAsia="zh-CN"/>
        </w:rPr>
        <w:t>进行补充</w:t>
      </w:r>
      <w:r>
        <w:rPr>
          <w:rFonts w:hint="eastAsia" w:ascii="Times New Roman" w:hAnsi="Times New Roman" w:eastAsia="仿宋" w:cs="仿宋"/>
        </w:rPr>
        <w:t>。</w:t>
      </w:r>
    </w:p>
    <w:p w14:paraId="2F12F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76" w:lineRule="auto"/>
        <w:textAlignment w:val="auto"/>
        <w:outlineLvl w:val="0"/>
        <w:rPr>
          <w:rFonts w:hint="eastAsia" w:ascii="Times New Roman" w:hAnsi="Times New Roman" w:eastAsia="仿宋" w:cs="仿宋"/>
        </w:rPr>
      </w:pPr>
      <w:r>
        <w:rPr>
          <w:rFonts w:hint="eastAsia" w:ascii="黑体" w:hAnsi="黑体" w:eastAsia="黑体" w:cs="仿宋"/>
          <w:lang w:val="en-US" w:eastAsia="zh-CN"/>
        </w:rPr>
        <w:t>三、</w:t>
      </w:r>
      <w:r>
        <w:rPr>
          <w:rFonts w:hint="eastAsia" w:ascii="黑体" w:hAnsi="黑体" w:eastAsia="黑体" w:cs="仿宋"/>
        </w:rPr>
        <w:t>Do</w:t>
      </w:r>
      <w:r>
        <w:rPr>
          <w:rFonts w:hint="eastAsia" w:ascii="黑体" w:hAnsi="黑体" w:eastAsia="黑体" w:cs="仿宋"/>
          <w:lang w:val="en-US" w:eastAsia="zh-CN"/>
        </w:rPr>
        <w:t>文档</w:t>
      </w:r>
      <w:r>
        <w:rPr>
          <w:rFonts w:hint="eastAsia" w:ascii="黑体" w:hAnsi="黑体" w:eastAsia="黑体" w:cs="仿宋"/>
        </w:rPr>
        <w:t>里面使用的</w:t>
      </w:r>
      <w:r>
        <w:rPr>
          <w:rFonts w:hint="eastAsia" w:ascii="黑体" w:hAnsi="黑体" w:eastAsia="黑体" w:cs="仿宋"/>
          <w:lang w:val="en-US" w:eastAsia="zh-CN"/>
        </w:rPr>
        <w:t>主要</w:t>
      </w:r>
      <w:r>
        <w:rPr>
          <w:rFonts w:hint="eastAsia" w:ascii="黑体" w:hAnsi="黑体" w:eastAsia="黑体" w:cs="仿宋"/>
        </w:rPr>
        <w:t>指标</w:t>
      </w:r>
      <w:r>
        <w:rPr>
          <w:rFonts w:hint="eastAsia" w:ascii="黑体" w:hAnsi="黑体" w:eastAsia="黑体" w:cs="仿宋"/>
          <w:lang w:val="en-US" w:eastAsia="zh-CN"/>
        </w:rPr>
        <w:t>含义</w:t>
      </w:r>
      <w:r>
        <w:rPr>
          <w:rFonts w:hint="eastAsia" w:ascii="黑体" w:hAnsi="黑体" w:eastAsia="黑体" w:cs="仿宋"/>
        </w:rPr>
        <w:t>说明</w:t>
      </w:r>
    </w:p>
    <w:tbl>
      <w:tblPr>
        <w:tblStyle w:val="5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2"/>
        <w:gridCol w:w="5927"/>
      </w:tblGrid>
      <w:tr w14:paraId="4DFAE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55" w:hRule="atLeast"/>
        </w:trPr>
        <w:tc>
          <w:tcPr>
            <w:tcW w:w="1521" w:type="pct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vAlign w:val="bottom"/>
          </w:tcPr>
          <w:p w14:paraId="5A127B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/>
                <w:bCs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347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FBC63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仿宋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含义</w:t>
            </w:r>
          </w:p>
        </w:tc>
      </w:tr>
      <w:tr w14:paraId="1E9BD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doub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noWrap/>
            <w:vAlign w:val="bottom"/>
          </w:tcPr>
          <w:p w14:paraId="7D029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province</w:t>
            </w:r>
          </w:p>
        </w:tc>
        <w:tc>
          <w:tcPr>
            <w:tcW w:w="347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1CBB05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</w:t>
            </w:r>
          </w:p>
        </w:tc>
      </w:tr>
      <w:tr w14:paraId="1DDC0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E5593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citycode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E38A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地市码</w:t>
            </w:r>
          </w:p>
        </w:tc>
      </w:tr>
      <w:tr w14:paraId="4E95A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B1A7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countycode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09A33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县码</w:t>
            </w:r>
          </w:p>
        </w:tc>
      </w:tr>
      <w:tr w14:paraId="45119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9547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adbj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5A65A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与政策边界的距离（百公里）</w:t>
            </w:r>
          </w:p>
        </w:tc>
      </w:tr>
      <w:tr w14:paraId="64746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F1E1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tshh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091841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到省会城市的距离</w:t>
            </w:r>
          </w:p>
        </w:tc>
      </w:tr>
      <w:tr w14:paraId="1F023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7FF9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tocc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39DB2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到海岸线的距离</w:t>
            </w:r>
          </w:p>
        </w:tc>
      </w:tr>
      <w:tr w14:paraId="2C9A42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907D2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west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C6D6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是否位于西部地区</w:t>
            </w:r>
          </w:p>
        </w:tc>
      </w:tr>
      <w:tr w14:paraId="6132F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AD83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podu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5153B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坡度</w:t>
            </w:r>
          </w:p>
        </w:tc>
      </w:tr>
      <w:tr w14:paraId="7A396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027A19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hai_ba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F296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海拔</w:t>
            </w:r>
          </w:p>
        </w:tc>
      </w:tr>
      <w:tr w14:paraId="73B0F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85B13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2AC2F5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经度</w:t>
            </w:r>
          </w:p>
        </w:tc>
      </w:tr>
      <w:tr w14:paraId="26709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9C6A4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4396FB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纬度</w:t>
            </w:r>
          </w:p>
        </w:tc>
      </w:tr>
      <w:tr w14:paraId="04008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BDE17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construct_ratio_00_06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CC69C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政策后基建支出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0FD5A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8A500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agri_ratio_00_06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13E0D4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政策后支农支出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791B14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60A64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edu_ratio_00_06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BD579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政策后教育支出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735F82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28BB3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admins_ratio_00_06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6CE81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政策后行政管理支出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17383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4FE5E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construct_ratio_1999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266F79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基建支出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（1999年）</w:t>
            </w:r>
          </w:p>
        </w:tc>
      </w:tr>
      <w:tr w14:paraId="1D89F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A430E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agri_ratio_1999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096F32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支农支出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（1999年）</w:t>
            </w:r>
          </w:p>
        </w:tc>
      </w:tr>
      <w:tr w14:paraId="72003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69DFB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admins_ratio_1999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63E532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行政管理支出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（1999年）</w:t>
            </w:r>
          </w:p>
        </w:tc>
      </w:tr>
      <w:tr w14:paraId="3746D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041E80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edu_ratio_1999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192779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</w:t>
            </w:r>
            <w:bookmarkStart w:id="0" w:name="_GoBack"/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比重</w:t>
            </w:r>
            <w:bookmarkEnd w:id="0"/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（1999年）</w:t>
            </w:r>
          </w:p>
        </w:tc>
      </w:tr>
      <w:tr w14:paraId="243F5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F7176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construct_ratio_94_99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9C082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政策前基建支出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年均值（1994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1999）</w:t>
            </w:r>
          </w:p>
        </w:tc>
      </w:tr>
      <w:tr w14:paraId="23692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0A3A8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agri_ratio_94_99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EC113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政策前支农支出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年均值（1994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1999）</w:t>
            </w:r>
          </w:p>
        </w:tc>
      </w:tr>
      <w:tr w14:paraId="0A41F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75A2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edu_ratio_98_99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EA874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政策前教育支出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年均值（1998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1999）</w:t>
            </w:r>
          </w:p>
        </w:tc>
      </w:tr>
      <w:tr w14:paraId="1D50B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ED7B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admins_ratio_94_99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061086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政策前行政管理支出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年均值（1994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1999）</w:t>
            </w:r>
          </w:p>
        </w:tc>
      </w:tr>
      <w:tr w14:paraId="0F5A9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F9900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constructgap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C064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基建支出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变化（2006减1999）</w:t>
            </w:r>
          </w:p>
        </w:tc>
      </w:tr>
      <w:tr w14:paraId="77172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4679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agrigap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441660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支农支出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变化（2006减1999）</w:t>
            </w:r>
          </w:p>
        </w:tc>
      </w:tr>
      <w:tr w14:paraId="683B7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43896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edugap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0ACB2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教育支出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变化（2006减1999）</w:t>
            </w:r>
          </w:p>
        </w:tc>
      </w:tr>
      <w:tr w14:paraId="536FB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FF8F2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adminsgap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3D9FA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行政管理支出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占财政支出比重的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变化（2006减1999）</w:t>
            </w:r>
          </w:p>
        </w:tc>
      </w:tr>
      <w:tr w14:paraId="5B1FA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C52E1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/>
                <w:iCs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transfer_ratio_00_06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0A588D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转移支付占总财力比重的均值（2000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71DF9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CAFBD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/>
                <w:iCs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specific_ratio_00_06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6FAB6A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专项转移支付占总财力比重的均值（2000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22501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125EF0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/>
                <w:iCs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general_ratio_00_06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642958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一般性转移支付占总财力比重的均值（2000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1C80D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E909C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/>
                <w:iCs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debt_ratio_00_06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1C57B8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国债增发补助占总财力比重的均值（2000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41072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8E47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/>
                <w:iCs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special_ratio_00_06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61EF6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专项补助占总财力比重的均值（2000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12F30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B19A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/>
                <w:iCs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fisrev_ratio_00_06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24A8D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 w:eastAsiaTheme="minorEastAsia"/>
                <w:b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本级收入占总财力比重的均值（2000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2006）</w:t>
            </w:r>
          </w:p>
        </w:tc>
      </w:tr>
      <w:tr w14:paraId="71633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B3A91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gdplnper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4CC8CE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人均GDP</w:t>
            </w:r>
          </w:p>
        </w:tc>
      </w:tr>
      <w:tr w14:paraId="0F552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109740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popden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486AE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人口密度</w:t>
            </w:r>
          </w:p>
        </w:tc>
      </w:tr>
      <w:tr w14:paraId="1A359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37B4C3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gov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465B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政府规模</w:t>
            </w:r>
          </w:p>
        </w:tc>
      </w:tr>
      <w:tr w14:paraId="1BC8AF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CF45D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shanxi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229123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陕西边界</w:t>
            </w:r>
          </w:p>
        </w:tc>
      </w:tr>
      <w:tr w14:paraId="53D203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6111EE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guangxi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148C1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广西边界</w:t>
            </w:r>
          </w:p>
        </w:tc>
      </w:tr>
      <w:tr w14:paraId="7E4A4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12937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lianhe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CF64A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贵州、湘西、恩施</w:t>
            </w:r>
            <w:r>
              <w:rPr>
                <w:rFonts w:hint="eastAsia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、重庆</w:t>
            </w: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组成的联合边界</w:t>
            </w:r>
          </w:p>
        </w:tc>
      </w:tr>
      <w:tr w14:paraId="17BA3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4C940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seg1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8C9D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等分边界</w:t>
            </w:r>
            <w:r>
              <w:rPr>
                <w:rStyle w:val="14"/>
                <w:rFonts w:hint="default" w:ascii="Times New Roman" w:hAnsi="Times New Roman" w:eastAsia="宋体" w:cs="仿宋"/>
                <w:b w:val="0"/>
                <w:lang w:val="en-US" w:eastAsia="zh-CN" w:bidi="ar"/>
              </w:rPr>
              <w:t>1</w:t>
            </w:r>
          </w:p>
        </w:tc>
      </w:tr>
      <w:tr w14:paraId="3A144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A068F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seg2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C3CD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等分边界</w:t>
            </w:r>
            <w:r>
              <w:rPr>
                <w:rStyle w:val="14"/>
                <w:rFonts w:hint="default" w:ascii="Times New Roman" w:hAnsi="Times New Roman" w:eastAsia="宋体" w:cs="仿宋"/>
                <w:b w:val="0"/>
                <w:lang w:val="en-US" w:eastAsia="zh-CN" w:bidi="ar"/>
              </w:rPr>
              <w:t>2</w:t>
            </w:r>
          </w:p>
        </w:tc>
      </w:tr>
      <w:tr w14:paraId="5A70C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6CC28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seg3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320A58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等分边界</w:t>
            </w:r>
            <w:r>
              <w:rPr>
                <w:rStyle w:val="14"/>
                <w:rFonts w:hint="default" w:ascii="Times New Roman" w:hAnsi="Times New Roman" w:eastAsia="宋体" w:cs="仿宋"/>
                <w:b w:val="0"/>
                <w:lang w:val="en-US" w:eastAsia="zh-CN" w:bidi="ar"/>
              </w:rPr>
              <w:t>3</w:t>
            </w:r>
          </w:p>
        </w:tc>
      </w:tr>
      <w:tr w14:paraId="20F9E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5D533A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seg4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7DA2F3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等分边界</w:t>
            </w:r>
            <w:r>
              <w:rPr>
                <w:rStyle w:val="14"/>
                <w:rFonts w:hint="default" w:ascii="Times New Roman" w:hAnsi="Times New Roman" w:eastAsia="宋体" w:cs="仿宋"/>
                <w:b w:val="0"/>
                <w:lang w:val="en-US" w:eastAsia="zh-CN" w:bidi="ar"/>
              </w:rPr>
              <w:t>4</w:t>
            </w:r>
          </w:p>
        </w:tc>
      </w:tr>
      <w:tr w14:paraId="16829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267275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seg5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576969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等分边界</w:t>
            </w:r>
            <w:r>
              <w:rPr>
                <w:rStyle w:val="14"/>
                <w:rFonts w:hint="default" w:ascii="Times New Roman" w:hAnsi="Times New Roman" w:eastAsia="宋体" w:cs="仿宋"/>
                <w:b w:val="0"/>
                <w:lang w:val="en-US" w:eastAsia="zh-CN" w:bidi="ar"/>
              </w:rPr>
              <w:t>5</w:t>
            </w:r>
          </w:p>
        </w:tc>
      </w:tr>
      <w:tr w14:paraId="5F99E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21" w:type="pct"/>
            <w:tcBorders>
              <w:top w:val="single" w:color="000000" w:sz="4" w:space="0"/>
              <w:left w:val="doub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FFFFFF"/>
            <w:noWrap/>
            <w:vAlign w:val="bottom"/>
          </w:tcPr>
          <w:p w14:paraId="7F86D3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仿宋"/>
                <w:b w:val="0"/>
                <w:i/>
                <w:iCs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/>
                <w:iCs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seg6</w:t>
            </w:r>
          </w:p>
        </w:tc>
        <w:tc>
          <w:tcPr>
            <w:tcW w:w="347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double" w:color="000000" w:sz="4" w:space="0"/>
            </w:tcBorders>
            <w:shd w:val="clear" w:color="auto" w:fill="FFFFFF"/>
            <w:noWrap/>
            <w:vAlign w:val="bottom"/>
          </w:tcPr>
          <w:p w14:paraId="2D96B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仿宋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等分边界</w:t>
            </w:r>
            <w:r>
              <w:rPr>
                <w:rStyle w:val="14"/>
                <w:rFonts w:hint="default" w:ascii="Times New Roman" w:hAnsi="Times New Roman" w:eastAsia="宋体" w:cs="仿宋"/>
                <w:b w:val="0"/>
                <w:lang w:val="en-US" w:eastAsia="zh-CN" w:bidi="ar"/>
              </w:rPr>
              <w:t>6</w:t>
            </w:r>
          </w:p>
        </w:tc>
      </w:tr>
    </w:tbl>
    <w:p w14:paraId="13E8F191">
      <w:pPr>
        <w:spacing w:line="276" w:lineRule="auto"/>
        <w:rPr>
          <w:rFonts w:hint="eastAsia" w:ascii="Times New Roman" w:hAnsi="Times New Roman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3740"/>
    <w:rsid w:val="00044C83"/>
    <w:rsid w:val="000607BF"/>
    <w:rsid w:val="000801AE"/>
    <w:rsid w:val="00084D6A"/>
    <w:rsid w:val="000A633E"/>
    <w:rsid w:val="000F091C"/>
    <w:rsid w:val="00147C94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7122"/>
    <w:rsid w:val="003660F3"/>
    <w:rsid w:val="003A002F"/>
    <w:rsid w:val="003A0CE3"/>
    <w:rsid w:val="003A3528"/>
    <w:rsid w:val="003B1006"/>
    <w:rsid w:val="003B2D6D"/>
    <w:rsid w:val="003F1D92"/>
    <w:rsid w:val="00477E4F"/>
    <w:rsid w:val="00495F23"/>
    <w:rsid w:val="004B143C"/>
    <w:rsid w:val="004B7EAA"/>
    <w:rsid w:val="004C6CFE"/>
    <w:rsid w:val="004D5A23"/>
    <w:rsid w:val="004E5578"/>
    <w:rsid w:val="004F2441"/>
    <w:rsid w:val="00502B71"/>
    <w:rsid w:val="0050638A"/>
    <w:rsid w:val="00511399"/>
    <w:rsid w:val="005217F5"/>
    <w:rsid w:val="0053343C"/>
    <w:rsid w:val="005358DD"/>
    <w:rsid w:val="005455B3"/>
    <w:rsid w:val="005555AC"/>
    <w:rsid w:val="00557232"/>
    <w:rsid w:val="00566086"/>
    <w:rsid w:val="005B096D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775E"/>
    <w:rsid w:val="00720056"/>
    <w:rsid w:val="00734626"/>
    <w:rsid w:val="007415F1"/>
    <w:rsid w:val="00766488"/>
    <w:rsid w:val="00775116"/>
    <w:rsid w:val="00792B01"/>
    <w:rsid w:val="007A1825"/>
    <w:rsid w:val="007A7643"/>
    <w:rsid w:val="007C7BFC"/>
    <w:rsid w:val="007E5973"/>
    <w:rsid w:val="007F4438"/>
    <w:rsid w:val="008375A9"/>
    <w:rsid w:val="00842BE8"/>
    <w:rsid w:val="00851237"/>
    <w:rsid w:val="00881A9E"/>
    <w:rsid w:val="008B2DA5"/>
    <w:rsid w:val="008D78CB"/>
    <w:rsid w:val="008E4154"/>
    <w:rsid w:val="009000C6"/>
    <w:rsid w:val="0091005E"/>
    <w:rsid w:val="00927E86"/>
    <w:rsid w:val="00955BF7"/>
    <w:rsid w:val="00956E59"/>
    <w:rsid w:val="00963CF1"/>
    <w:rsid w:val="00974D6B"/>
    <w:rsid w:val="00976263"/>
    <w:rsid w:val="00993AF9"/>
    <w:rsid w:val="009B0AF9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E12B2"/>
    <w:rsid w:val="00AE3441"/>
    <w:rsid w:val="00AE4E30"/>
    <w:rsid w:val="00AF0925"/>
    <w:rsid w:val="00AF785A"/>
    <w:rsid w:val="00B030B8"/>
    <w:rsid w:val="00B05969"/>
    <w:rsid w:val="00B40597"/>
    <w:rsid w:val="00B41B47"/>
    <w:rsid w:val="00B5357B"/>
    <w:rsid w:val="00B57F6B"/>
    <w:rsid w:val="00B71096"/>
    <w:rsid w:val="00BA3CC6"/>
    <w:rsid w:val="00BC084B"/>
    <w:rsid w:val="00BC2FF1"/>
    <w:rsid w:val="00BF34D0"/>
    <w:rsid w:val="00BF6B0F"/>
    <w:rsid w:val="00C01441"/>
    <w:rsid w:val="00C0659A"/>
    <w:rsid w:val="00C32DA9"/>
    <w:rsid w:val="00C6253E"/>
    <w:rsid w:val="00C975D8"/>
    <w:rsid w:val="00CB2AB4"/>
    <w:rsid w:val="00CB7B13"/>
    <w:rsid w:val="00CC3EE5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102A7"/>
    <w:rsid w:val="00E22809"/>
    <w:rsid w:val="00E25511"/>
    <w:rsid w:val="00E2650C"/>
    <w:rsid w:val="00E65709"/>
    <w:rsid w:val="00E6766A"/>
    <w:rsid w:val="00E720B1"/>
    <w:rsid w:val="00E91DE3"/>
    <w:rsid w:val="00EF51B0"/>
    <w:rsid w:val="00EF6DF4"/>
    <w:rsid w:val="00F03274"/>
    <w:rsid w:val="00F22ACF"/>
    <w:rsid w:val="00F234B3"/>
    <w:rsid w:val="00F37CE4"/>
    <w:rsid w:val="00F647BB"/>
    <w:rsid w:val="00F72B89"/>
    <w:rsid w:val="00FA544A"/>
    <w:rsid w:val="00FA5CF0"/>
    <w:rsid w:val="00FB6450"/>
    <w:rsid w:val="00FE2164"/>
    <w:rsid w:val="015175EB"/>
    <w:rsid w:val="01836C16"/>
    <w:rsid w:val="0412063E"/>
    <w:rsid w:val="049727D9"/>
    <w:rsid w:val="059609B9"/>
    <w:rsid w:val="067508F8"/>
    <w:rsid w:val="06D53145"/>
    <w:rsid w:val="06D97352"/>
    <w:rsid w:val="075E138C"/>
    <w:rsid w:val="082D4FDC"/>
    <w:rsid w:val="085F727E"/>
    <w:rsid w:val="08BC3764"/>
    <w:rsid w:val="08C6543B"/>
    <w:rsid w:val="08D12A6B"/>
    <w:rsid w:val="0ABE1FC1"/>
    <w:rsid w:val="0BFF2A12"/>
    <w:rsid w:val="0D4A7260"/>
    <w:rsid w:val="0D6E7E4F"/>
    <w:rsid w:val="0D9D24E2"/>
    <w:rsid w:val="0DC74BB1"/>
    <w:rsid w:val="0E30434A"/>
    <w:rsid w:val="0E9F5A87"/>
    <w:rsid w:val="0EBC6E34"/>
    <w:rsid w:val="0F256C33"/>
    <w:rsid w:val="0F553351"/>
    <w:rsid w:val="0F7C2CF7"/>
    <w:rsid w:val="0FBF6BD6"/>
    <w:rsid w:val="10172A20"/>
    <w:rsid w:val="11B4626B"/>
    <w:rsid w:val="12C24D9F"/>
    <w:rsid w:val="13567F09"/>
    <w:rsid w:val="13CE5E59"/>
    <w:rsid w:val="14236A0E"/>
    <w:rsid w:val="149A59CD"/>
    <w:rsid w:val="14A64372"/>
    <w:rsid w:val="151E03AD"/>
    <w:rsid w:val="164E081E"/>
    <w:rsid w:val="18F25D86"/>
    <w:rsid w:val="1B1662E8"/>
    <w:rsid w:val="1B7A6EDA"/>
    <w:rsid w:val="1BE3427E"/>
    <w:rsid w:val="1D940DB0"/>
    <w:rsid w:val="1DCF493A"/>
    <w:rsid w:val="1DE57CB9"/>
    <w:rsid w:val="1F3416E0"/>
    <w:rsid w:val="1F781A70"/>
    <w:rsid w:val="1FFB2DF5"/>
    <w:rsid w:val="20D52267"/>
    <w:rsid w:val="228F6446"/>
    <w:rsid w:val="22BB35F2"/>
    <w:rsid w:val="2368163D"/>
    <w:rsid w:val="24422247"/>
    <w:rsid w:val="249B154A"/>
    <w:rsid w:val="255C237C"/>
    <w:rsid w:val="2567355B"/>
    <w:rsid w:val="25966D36"/>
    <w:rsid w:val="25D30D3F"/>
    <w:rsid w:val="262D246D"/>
    <w:rsid w:val="269A360B"/>
    <w:rsid w:val="26F62F37"/>
    <w:rsid w:val="27851DB4"/>
    <w:rsid w:val="27DF5779"/>
    <w:rsid w:val="28905912"/>
    <w:rsid w:val="28FE2F44"/>
    <w:rsid w:val="2A9F7442"/>
    <w:rsid w:val="2BC03067"/>
    <w:rsid w:val="2BCA6741"/>
    <w:rsid w:val="2CA46F92"/>
    <w:rsid w:val="2CFD76EE"/>
    <w:rsid w:val="2DB66F7C"/>
    <w:rsid w:val="2F1C5505"/>
    <w:rsid w:val="2F7B65D0"/>
    <w:rsid w:val="30CB2D3F"/>
    <w:rsid w:val="31A75743"/>
    <w:rsid w:val="32327E11"/>
    <w:rsid w:val="32990C1B"/>
    <w:rsid w:val="33CA19D4"/>
    <w:rsid w:val="348F605A"/>
    <w:rsid w:val="363D46DF"/>
    <w:rsid w:val="36B17579"/>
    <w:rsid w:val="37875A5B"/>
    <w:rsid w:val="37922808"/>
    <w:rsid w:val="39253208"/>
    <w:rsid w:val="39C3649F"/>
    <w:rsid w:val="3A793816"/>
    <w:rsid w:val="3B201ED9"/>
    <w:rsid w:val="3B936B4F"/>
    <w:rsid w:val="3BDD1B6F"/>
    <w:rsid w:val="3CC3731B"/>
    <w:rsid w:val="3D1325AA"/>
    <w:rsid w:val="3D472CD8"/>
    <w:rsid w:val="3D6C26F7"/>
    <w:rsid w:val="3DB30BB9"/>
    <w:rsid w:val="3DCC459A"/>
    <w:rsid w:val="3E195B43"/>
    <w:rsid w:val="3EEC40B9"/>
    <w:rsid w:val="3EF63008"/>
    <w:rsid w:val="3F6F1056"/>
    <w:rsid w:val="3F84512C"/>
    <w:rsid w:val="3FC1012F"/>
    <w:rsid w:val="3FEA5313"/>
    <w:rsid w:val="411502A2"/>
    <w:rsid w:val="415E505C"/>
    <w:rsid w:val="416A43C8"/>
    <w:rsid w:val="41D57EC1"/>
    <w:rsid w:val="42FA25C7"/>
    <w:rsid w:val="4306106D"/>
    <w:rsid w:val="44312E4B"/>
    <w:rsid w:val="4436451B"/>
    <w:rsid w:val="45070729"/>
    <w:rsid w:val="459B4F7E"/>
    <w:rsid w:val="478A34FC"/>
    <w:rsid w:val="49760C03"/>
    <w:rsid w:val="4A975859"/>
    <w:rsid w:val="4C164BD0"/>
    <w:rsid w:val="4CA50490"/>
    <w:rsid w:val="4CC254E6"/>
    <w:rsid w:val="4CEC7C35"/>
    <w:rsid w:val="4D244AC5"/>
    <w:rsid w:val="4E8D38D2"/>
    <w:rsid w:val="4EC62937"/>
    <w:rsid w:val="4FBC446F"/>
    <w:rsid w:val="4FDE0DBE"/>
    <w:rsid w:val="51A11B6E"/>
    <w:rsid w:val="51BB2504"/>
    <w:rsid w:val="53083095"/>
    <w:rsid w:val="5579695E"/>
    <w:rsid w:val="567E6834"/>
    <w:rsid w:val="569A6B8C"/>
    <w:rsid w:val="573E7698"/>
    <w:rsid w:val="57595F84"/>
    <w:rsid w:val="57A56669"/>
    <w:rsid w:val="5A290952"/>
    <w:rsid w:val="5A51569A"/>
    <w:rsid w:val="5B631C42"/>
    <w:rsid w:val="5BDB5246"/>
    <w:rsid w:val="5C9B540C"/>
    <w:rsid w:val="5D610DE3"/>
    <w:rsid w:val="5D91303F"/>
    <w:rsid w:val="5E745F14"/>
    <w:rsid w:val="5E785A05"/>
    <w:rsid w:val="5F2E6A0B"/>
    <w:rsid w:val="5F4F3BB2"/>
    <w:rsid w:val="6189456E"/>
    <w:rsid w:val="61F47A98"/>
    <w:rsid w:val="62E038E3"/>
    <w:rsid w:val="62EC623E"/>
    <w:rsid w:val="62FD472A"/>
    <w:rsid w:val="646627A3"/>
    <w:rsid w:val="65475D8B"/>
    <w:rsid w:val="66CD28BF"/>
    <w:rsid w:val="66CF1E96"/>
    <w:rsid w:val="67022AB0"/>
    <w:rsid w:val="675E1E39"/>
    <w:rsid w:val="6765020B"/>
    <w:rsid w:val="68B52481"/>
    <w:rsid w:val="68CC2A2A"/>
    <w:rsid w:val="6A1C7B76"/>
    <w:rsid w:val="6C53360D"/>
    <w:rsid w:val="6C7751CD"/>
    <w:rsid w:val="6CA616DB"/>
    <w:rsid w:val="6CBC7404"/>
    <w:rsid w:val="6D0D7C60"/>
    <w:rsid w:val="6D1C0695"/>
    <w:rsid w:val="6E923857"/>
    <w:rsid w:val="6F4058FE"/>
    <w:rsid w:val="6FE532F1"/>
    <w:rsid w:val="6FF7503E"/>
    <w:rsid w:val="71121CE9"/>
    <w:rsid w:val="71A02AA0"/>
    <w:rsid w:val="72331F17"/>
    <w:rsid w:val="731358A4"/>
    <w:rsid w:val="73137BCE"/>
    <w:rsid w:val="739C7FB4"/>
    <w:rsid w:val="739D5697"/>
    <w:rsid w:val="73F15BC3"/>
    <w:rsid w:val="74583EB6"/>
    <w:rsid w:val="76544B51"/>
    <w:rsid w:val="77C918B1"/>
    <w:rsid w:val="782C7B34"/>
    <w:rsid w:val="78D635FC"/>
    <w:rsid w:val="791B7267"/>
    <w:rsid w:val="79975AC4"/>
    <w:rsid w:val="7A186697"/>
    <w:rsid w:val="7AC92FEC"/>
    <w:rsid w:val="7B532F44"/>
    <w:rsid w:val="7BB32E10"/>
    <w:rsid w:val="7BBD0AA3"/>
    <w:rsid w:val="7C2B1258"/>
    <w:rsid w:val="7DBA173E"/>
    <w:rsid w:val="7DFC1D56"/>
    <w:rsid w:val="7F631961"/>
    <w:rsid w:val="7F83107B"/>
    <w:rsid w:val="7FA206DC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0"/>
    <w:unhideWhenUsed/>
    <w:qFormat/>
    <w:uiPriority w:val="99"/>
    <w:pPr>
      <w:snapToGrid w:val="0"/>
      <w:jc w:val="left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">
    <w:name w:val="footnote reference"/>
    <w:basedOn w:val="6"/>
    <w:unhideWhenUsed/>
    <w:qFormat/>
    <w:uiPriority w:val="99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脚注文本 字符"/>
    <w:basedOn w:val="6"/>
    <w:link w:val="4"/>
    <w:qFormat/>
    <w:uiPriority w:val="99"/>
    <w:rPr>
      <w:sz w:val="18"/>
      <w:szCs w:val="18"/>
    </w:rPr>
  </w:style>
  <w:style w:type="character" w:customStyle="1" w:styleId="11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4">
    <w:name w:val="font01"/>
    <w:basedOn w:val="6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1684</Words>
  <Characters>2465</Characters>
  <Lines>17</Lines>
  <Paragraphs>4</Paragraphs>
  <TotalTime>1</TotalTime>
  <ScaleCrop>false</ScaleCrop>
  <LinksUpToDate>false</LinksUpToDate>
  <CharactersWithSpaces>2467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2024-09-24T15:18:00Z</dcterms:created>
  <dc:creator>孟鑫 刘</dc:creator>
  <cp:lastModifiedBy>悟空</cp:lastModifiedBy>
  <dcterms:modified xsi:type="dcterms:W3CDTF">2025-09-13T14:14:15Z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63989FC303404CF4AE5CC0F51E56C658_13</vt:lpwstr>
  </property>
  <property fmtid="{D5CDD505-2E9C-101B-9397-08002B2CF9AE}" pid="4" name="KSOTemplateDocerSaveRecord">
    <vt:lpwstr>eyJoZGlkIjoiYTU2ZGVkOTI3Y2YzMTg2NGFmMzZlMWJlYzIxNTA0MzgiLCJ1c2VySWQiOiIyODc0NzAzNzIifQ==</vt:lpwstr>
  </property>
</Properties>
</file>