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4C7C5">
      <w:pPr>
        <w:spacing w:line="276" w:lineRule="auto"/>
        <w:jc w:val="center"/>
        <w:rPr>
          <w:rFonts w:hint="default" w:ascii="Times New Roman Regular" w:hAnsi="Times New Roman Regular" w:eastAsia="仿宋" w:cs="Times New Roman Regular"/>
          <w:sz w:val="28"/>
          <w:szCs w:val="28"/>
        </w:rPr>
      </w:pPr>
      <w:bookmarkStart w:id="1" w:name="_GoBack"/>
      <w:bookmarkEnd w:id="1"/>
      <w:r>
        <w:rPr>
          <w:rFonts w:hint="default" w:ascii="Times New Roman Regular" w:hAnsi="Times New Roman Regular" w:eastAsia="仿宋" w:cs="Times New Roman Regular"/>
          <w:sz w:val="28"/>
          <w:szCs w:val="28"/>
        </w:rPr>
        <w:t>说明文档</w:t>
      </w:r>
    </w:p>
    <w:p w14:paraId="668E7E5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（一）文件说明</w:t>
      </w:r>
    </w:p>
    <w:p w14:paraId="2BBC09DD">
      <w:pPr>
        <w:spacing w:line="276" w:lineRule="auto"/>
        <w:ind w:firstLine="420" w:firstLineChars="200"/>
        <w:rPr>
          <w:rFonts w:hint="default" w:ascii="Times New Roman Regular" w:hAnsi="Times New Roman Regular" w:eastAsia="仿宋" w:cs="Times New Roman Regular"/>
        </w:rPr>
      </w:pPr>
      <w:r>
        <w:rPr>
          <w:rFonts w:hint="default" w:ascii="Times New Roman Regular" w:hAnsi="Times New Roman Regular" w:eastAsia="仿宋" w:cs="Times New Roman Regular"/>
        </w:rPr>
        <w:t>本论文使用的数据代码压缩包命名为“2024-01725+数据”，解压之后里面有“2024-01725+</w:t>
      </w:r>
      <w:r>
        <w:rPr>
          <w:rFonts w:hint="default" w:ascii="Times New Roman Regular" w:hAnsi="Times New Roman Regular" w:eastAsia="仿宋" w:cs="Times New Roman Regular"/>
          <w:b/>
          <w:bCs/>
        </w:rPr>
        <w:t>程序代码</w:t>
      </w:r>
      <w:r>
        <w:rPr>
          <w:rFonts w:hint="default" w:ascii="Times New Roman Regular" w:hAnsi="Times New Roman Regular" w:eastAsia="仿宋" w:cs="Times New Roman Regular"/>
        </w:rPr>
        <w:t>”、“2024-01725+</w:t>
      </w:r>
      <w:r>
        <w:rPr>
          <w:rFonts w:hint="default" w:ascii="Times New Roman Regular" w:hAnsi="Times New Roman Regular" w:eastAsia="仿宋" w:cs="Times New Roman Regular"/>
          <w:b/>
          <w:bCs/>
        </w:rPr>
        <w:t>日志文件</w:t>
      </w:r>
      <w:r>
        <w:rPr>
          <w:rFonts w:hint="default" w:ascii="Times New Roman Regular" w:hAnsi="Times New Roman Regular" w:eastAsia="仿宋" w:cs="Times New Roman Regular"/>
        </w:rPr>
        <w:t>”和“2024-01725+</w:t>
      </w:r>
      <w:r>
        <w:rPr>
          <w:rFonts w:hint="default" w:ascii="Times New Roman Regular" w:hAnsi="Times New Roman Regular" w:eastAsia="仿宋" w:cs="Times New Roman Regular"/>
          <w:b/>
          <w:bCs/>
        </w:rPr>
        <w:t>说明文档</w:t>
      </w:r>
      <w:r>
        <w:rPr>
          <w:rFonts w:hint="default" w:ascii="Times New Roman Regular" w:hAnsi="Times New Roman Regular" w:eastAsia="仿宋" w:cs="Times New Roman Regular"/>
        </w:rPr>
        <w:t>”3个部分。</w:t>
      </w:r>
    </w:p>
    <w:p w14:paraId="21770751">
      <w:pPr>
        <w:wordWrap w:val="0"/>
        <w:spacing w:line="276" w:lineRule="auto"/>
        <w:ind w:firstLine="420" w:firstLineChars="200"/>
        <w:rPr>
          <w:rFonts w:hint="default" w:ascii="Times New Roman Regular" w:hAnsi="Times New Roman Regular" w:eastAsia="仿宋" w:cs="Times New Roman Regular"/>
        </w:rPr>
      </w:pPr>
      <w:r>
        <w:rPr>
          <w:rFonts w:hint="default" w:ascii="Times New Roman Regular" w:hAnsi="Times New Roman Regular" w:eastAsia="仿宋" w:cs="Times New Roman Regular"/>
        </w:rPr>
        <w:t>（1）“2024-01725+</w:t>
      </w:r>
      <w:r>
        <w:rPr>
          <w:rFonts w:hint="default" w:ascii="Times New Roman Regular" w:hAnsi="Times New Roman Regular" w:eastAsia="仿宋" w:cs="Times New Roman Regular"/>
          <w:b/>
          <w:bCs/>
        </w:rPr>
        <w:t>程序代码</w:t>
      </w:r>
      <w:r>
        <w:rPr>
          <w:rFonts w:hint="default" w:ascii="Times New Roman Regular" w:hAnsi="Times New Roman Regular" w:eastAsia="仿宋" w:cs="Times New Roman Regular"/>
        </w:rPr>
        <w:t>”里面包括2个文件，分别是“table”和“figure”文件：</w:t>
      </w:r>
    </w:p>
    <w:p w14:paraId="066720C1">
      <w:pPr>
        <w:wordWrap w:val="0"/>
        <w:spacing w:line="276" w:lineRule="auto"/>
        <w:ind w:firstLine="420" w:firstLineChars="200"/>
        <w:rPr>
          <w:rFonts w:hint="default" w:ascii="Times New Roman Regular" w:hAnsi="Times New Roman Regular" w:eastAsia="仿宋" w:cs="Times New Roman Regular"/>
        </w:rPr>
      </w:pPr>
      <w:r>
        <w:rPr>
          <w:rFonts w:hint="default" w:ascii="Times New Roman Regular" w:hAnsi="Times New Roman Regular" w:eastAsia="仿宋" w:cs="Times New Roman Regular"/>
        </w:rPr>
        <w:t>“table”是表格运行文件，主要生成</w:t>
      </w:r>
      <w:r>
        <w:rPr>
          <w:rFonts w:hint="default" w:ascii="Times New Roman Regular" w:hAnsi="Times New Roman Regular" w:eastAsia="仿宋" w:cs="Times New Roman Regular"/>
          <w:lang w:val="en-US" w:eastAsia="zh-CN"/>
        </w:rPr>
        <w:t>正文表1-6</w:t>
      </w:r>
      <w:r>
        <w:rPr>
          <w:rFonts w:hint="default" w:ascii="Times New Roman Regular" w:hAnsi="Times New Roman Regular" w:eastAsia="仿宋" w:cs="Times New Roman Regular"/>
        </w:rPr>
        <w:t>以及在线附录I</w:t>
      </w:r>
      <w:r>
        <w:rPr>
          <w:rFonts w:hint="default" w:ascii="Times New Roman Regular" w:hAnsi="Times New Roman Regular" w:eastAsia="仿宋" w:cs="Times New Roman Regular"/>
          <w:lang w:val="en-US" w:eastAsia="zh-CN"/>
        </w:rPr>
        <w:t>-X</w:t>
      </w:r>
      <w:r>
        <w:rPr>
          <w:rFonts w:hint="default" w:ascii="Times New Roman Regular" w:hAnsi="Times New Roman Regular" w:eastAsia="仿宋" w:cs="Times New Roman Regular"/>
        </w:rPr>
        <w:t>II</w:t>
      </w:r>
      <w:r>
        <w:rPr>
          <w:rFonts w:hint="default" w:ascii="Times New Roman Regular" w:hAnsi="Times New Roman Regular" w:eastAsia="仿宋" w:cs="Times New Roman Regular"/>
          <w:lang w:val="en-US" w:eastAsia="zh-CN"/>
        </w:rPr>
        <w:t>所有</w:t>
      </w:r>
      <w:r>
        <w:rPr>
          <w:rFonts w:hint="default" w:ascii="Times New Roman Regular" w:hAnsi="Times New Roman Regular" w:eastAsia="仿宋" w:cs="Times New Roman Regular"/>
        </w:rPr>
        <w:t>表</w:t>
      </w:r>
      <w:r>
        <w:rPr>
          <w:rFonts w:hint="default" w:ascii="Times New Roman Regular" w:hAnsi="Times New Roman Regular" w:eastAsia="仿宋" w:cs="Times New Roman Regular"/>
          <w:lang w:val="en-US" w:eastAsia="zh-CN"/>
        </w:rPr>
        <w:t>格</w:t>
      </w:r>
      <w:r>
        <w:rPr>
          <w:rFonts w:hint="default" w:ascii="Times New Roman Regular" w:hAnsi="Times New Roman Regular" w:eastAsia="仿宋" w:cs="Times New Roman Regular"/>
        </w:rPr>
        <w:t>的运行结果。</w:t>
      </w:r>
    </w:p>
    <w:p w14:paraId="362482F6">
      <w:pPr>
        <w:wordWrap w:val="0"/>
        <w:spacing w:line="276" w:lineRule="auto"/>
        <w:ind w:firstLine="420" w:firstLineChars="200"/>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rPr>
        <w:t>“figure”是图运行文件，</w:t>
      </w:r>
      <w:r>
        <w:rPr>
          <w:rFonts w:hint="eastAsia" w:ascii="Times New Roman Regular" w:hAnsi="Times New Roman Regular" w:eastAsia="仿宋" w:cs="Times New Roman Regular"/>
          <w:lang w:val="en-US" w:eastAsia="zh-CN"/>
        </w:rPr>
        <w:t>“中国跨国并购历年趋势.xlsx”用于生成正文图1，其他dta文件用于生成</w:t>
      </w:r>
      <w:r>
        <w:rPr>
          <w:rFonts w:hint="default" w:ascii="Times New Roman Regular" w:hAnsi="Times New Roman Regular" w:eastAsia="仿宋" w:cs="Times New Roman Regular"/>
        </w:rPr>
        <w:t>在线附录I</w:t>
      </w:r>
      <w:r>
        <w:rPr>
          <w:rFonts w:hint="default" w:ascii="Times New Roman Regular" w:hAnsi="Times New Roman Regular" w:eastAsia="仿宋" w:cs="Times New Roman Regular"/>
          <w:lang w:val="en-US" w:eastAsia="zh-CN"/>
        </w:rPr>
        <w:t>-X</w:t>
      </w:r>
      <w:r>
        <w:rPr>
          <w:rFonts w:hint="default" w:ascii="Times New Roman Regular" w:hAnsi="Times New Roman Regular" w:eastAsia="仿宋" w:cs="Times New Roman Regular"/>
        </w:rPr>
        <w:t>II中的</w:t>
      </w:r>
      <w:r>
        <w:rPr>
          <w:rFonts w:hint="default" w:ascii="Times New Roman Regular" w:hAnsi="Times New Roman Regular" w:eastAsia="仿宋" w:cs="Times New Roman Regular"/>
          <w:lang w:val="en-US" w:eastAsia="zh-CN"/>
        </w:rPr>
        <w:t>所有附</w:t>
      </w:r>
      <w:r>
        <w:rPr>
          <w:rFonts w:hint="default" w:ascii="Times New Roman Regular" w:hAnsi="Times New Roman Regular" w:eastAsia="仿宋" w:cs="Times New Roman Regular"/>
        </w:rPr>
        <w:t>图。</w:t>
      </w:r>
    </w:p>
    <w:p w14:paraId="3BBFBD0A">
      <w:pPr>
        <w:spacing w:line="276" w:lineRule="auto"/>
        <w:ind w:firstLine="420" w:firstLineChars="200"/>
        <w:rPr>
          <w:rFonts w:hint="default" w:ascii="Times New Roman Regular" w:hAnsi="Times New Roman Regular" w:eastAsia="仿宋" w:cs="Times New Roman Regular"/>
        </w:rPr>
      </w:pPr>
      <w:r>
        <w:rPr>
          <w:rFonts w:hint="default" w:ascii="Times New Roman Regular" w:hAnsi="Times New Roman Regular" w:eastAsia="仿宋" w:cs="Times New Roman Regular"/>
        </w:rPr>
        <w:t>（2）“</w:t>
      </w:r>
      <w:r>
        <w:rPr>
          <w:rFonts w:hint="default" w:ascii="Times New Roman Regular" w:hAnsi="Times New Roman Regular" w:eastAsia="仿宋" w:cs="Times New Roman Regular"/>
          <w:lang w:eastAsia="zh-CN"/>
        </w:rPr>
        <w:t>2024-01725</w:t>
      </w:r>
      <w:r>
        <w:rPr>
          <w:rFonts w:hint="default" w:ascii="Times New Roman Regular" w:hAnsi="Times New Roman Regular" w:eastAsia="仿宋" w:cs="Times New Roman Regular"/>
        </w:rPr>
        <w:t>+</w:t>
      </w:r>
      <w:r>
        <w:rPr>
          <w:rFonts w:hint="default" w:ascii="Times New Roman Regular" w:hAnsi="Times New Roman Regular" w:eastAsia="仿宋" w:cs="Times New Roman Regular"/>
          <w:b/>
          <w:bCs/>
        </w:rPr>
        <w:t>日志文件</w:t>
      </w:r>
      <w:r>
        <w:rPr>
          <w:rFonts w:hint="default" w:ascii="Times New Roman Regular" w:hAnsi="Times New Roman Regular" w:eastAsia="仿宋" w:cs="Times New Roman Regular"/>
        </w:rPr>
        <w:t>”中的“table</w:t>
      </w:r>
      <w:r>
        <w:rPr>
          <w:rFonts w:hint="default" w:ascii="Times New Roman Regular" w:hAnsi="Times New Roman Regular" w:eastAsia="仿宋" w:cs="Times New Roman Regular"/>
          <w:lang w:val="en-US" w:eastAsia="zh-CN"/>
        </w:rPr>
        <w:t>1</w:t>
      </w:r>
      <w:r>
        <w:rPr>
          <w:rFonts w:hint="default" w:ascii="Times New Roman Regular" w:hAnsi="Times New Roman Regular" w:eastAsia="仿宋" w:cs="Times New Roman Regular"/>
        </w:rPr>
        <w:t>”-“table6”分别是表</w:t>
      </w:r>
      <w:r>
        <w:rPr>
          <w:rFonts w:hint="default" w:ascii="Times New Roman Regular" w:hAnsi="Times New Roman Regular" w:eastAsia="仿宋" w:cs="Times New Roman Regular"/>
          <w:lang w:val="en-US" w:eastAsia="zh-CN"/>
        </w:rPr>
        <w:t>1</w:t>
      </w:r>
      <w:r>
        <w:rPr>
          <w:rFonts w:hint="default" w:ascii="Times New Roman Regular" w:hAnsi="Times New Roman Regular" w:eastAsia="仿宋" w:cs="Times New Roman Regular"/>
        </w:rPr>
        <w:t>-表6的运行结果；Table_Appendix_III1</w:t>
      </w:r>
      <w:r>
        <w:rPr>
          <w:rFonts w:hint="default" w:ascii="Times New Roman Regular" w:hAnsi="Times New Roman Regular" w:eastAsia="仿宋" w:cs="Times New Roman Regular"/>
          <w:lang w:val="en-US" w:eastAsia="zh-CN"/>
        </w:rPr>
        <w:t>和Table_Appendix_VIII1.xls-Table_Appendix_XII3.xls是附录中所有表格的结果；</w:t>
      </w:r>
      <w:r>
        <w:rPr>
          <w:rFonts w:hint="default" w:ascii="Times New Roman Regular" w:hAnsi="Times New Roman Regular" w:eastAsia="仿宋" w:cs="Times New Roman Regular"/>
        </w:rPr>
        <w:t>“图</w:t>
      </w:r>
      <w:r>
        <w:rPr>
          <w:rFonts w:hint="default" w:ascii="Times New Roman Regular" w:hAnsi="Times New Roman Regular" w:eastAsia="仿宋" w:cs="Times New Roman Regular"/>
          <w:lang w:val="en-US" w:eastAsia="zh-CN"/>
        </w:rPr>
        <w:t>1</w:t>
      </w:r>
      <w:r>
        <w:rPr>
          <w:rFonts w:hint="default" w:ascii="Times New Roman Regular" w:hAnsi="Times New Roman Regular" w:eastAsia="仿宋" w:cs="Times New Roman Regular"/>
        </w:rPr>
        <w:t>”和“图</w:t>
      </w:r>
      <w:r>
        <w:rPr>
          <w:rFonts w:hint="default" w:ascii="Times New Roman Regular" w:hAnsi="Times New Roman Regular" w:eastAsia="仿宋" w:cs="Times New Roman Regular"/>
          <w:lang w:val="en-US" w:eastAsia="zh-CN"/>
        </w:rPr>
        <w:t>A1”-“图A9”</w:t>
      </w:r>
      <w:r>
        <w:rPr>
          <w:rFonts w:hint="default" w:ascii="Times New Roman Regular" w:hAnsi="Times New Roman Regular" w:eastAsia="仿宋" w:cs="Times New Roman Regular"/>
        </w:rPr>
        <w:t>是正文</w:t>
      </w:r>
      <w:r>
        <w:rPr>
          <w:rFonts w:hint="default" w:ascii="Times New Roman Regular" w:hAnsi="Times New Roman Regular" w:eastAsia="仿宋" w:cs="Times New Roman Regular"/>
          <w:lang w:val="en-US" w:eastAsia="zh-CN"/>
        </w:rPr>
        <w:t>和在线附录中所有</w:t>
      </w:r>
      <w:r>
        <w:rPr>
          <w:rFonts w:hint="default" w:ascii="Times New Roman Regular" w:hAnsi="Times New Roman Regular" w:eastAsia="仿宋" w:cs="Times New Roman Regular"/>
        </w:rPr>
        <w:t>图的结果。</w:t>
      </w:r>
    </w:p>
    <w:p w14:paraId="5E9F3A5C">
      <w:pPr>
        <w:spacing w:line="276" w:lineRule="auto"/>
        <w:ind w:firstLine="420" w:firstLineChars="200"/>
        <w:rPr>
          <w:rFonts w:hint="default" w:ascii="Times New Roman Regular" w:hAnsi="Times New Roman Regular" w:eastAsia="仿宋" w:cs="Times New Roman Regular"/>
        </w:rPr>
      </w:pPr>
      <w:r>
        <w:rPr>
          <w:rFonts w:hint="default" w:ascii="Times New Roman Regular" w:hAnsi="Times New Roman Regular" w:eastAsia="仿宋" w:cs="Times New Roman Regular"/>
        </w:rPr>
        <w:t>（3）“</w:t>
      </w:r>
      <w:r>
        <w:rPr>
          <w:rFonts w:hint="default" w:ascii="Times New Roman Regular" w:hAnsi="Times New Roman Regular" w:eastAsia="仿宋" w:cs="Times New Roman Regular"/>
          <w:lang w:eastAsia="zh-CN"/>
        </w:rPr>
        <w:t>2024-01725</w:t>
      </w:r>
      <w:r>
        <w:rPr>
          <w:rFonts w:hint="default" w:ascii="Times New Roman Regular" w:hAnsi="Times New Roman Regular" w:eastAsia="仿宋" w:cs="Times New Roman Regular"/>
        </w:rPr>
        <w:t>+</w:t>
      </w:r>
      <w:r>
        <w:rPr>
          <w:rFonts w:hint="default" w:ascii="Times New Roman Regular" w:hAnsi="Times New Roman Regular" w:eastAsia="仿宋" w:cs="Times New Roman Regular"/>
          <w:b/>
          <w:bCs/>
        </w:rPr>
        <w:t>说明文档</w:t>
      </w:r>
      <w:r>
        <w:rPr>
          <w:rFonts w:hint="default" w:ascii="Times New Roman Regular" w:hAnsi="Times New Roman Regular" w:eastAsia="仿宋" w:cs="Times New Roman Regular"/>
        </w:rPr>
        <w:t>”即是本说明文档。</w:t>
      </w:r>
    </w:p>
    <w:p w14:paraId="247B5A3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（二）数据来源</w:t>
      </w:r>
    </w:p>
    <w:p w14:paraId="5C1895D3">
      <w:pPr>
        <w:spacing w:line="276" w:lineRule="auto"/>
        <w:ind w:firstLine="420" w:firstLineChars="200"/>
        <w:rPr>
          <w:rFonts w:hint="default" w:ascii="Times New Roman Regular" w:hAnsi="Times New Roman Regular" w:eastAsia="仿宋" w:cs="Times New Roman Regular"/>
          <w:color w:val="000000"/>
        </w:rPr>
      </w:pPr>
      <w:r>
        <w:rPr>
          <w:rFonts w:hint="default" w:ascii="Times New Roman Regular" w:hAnsi="Times New Roman Regular" w:eastAsia="仿宋" w:cs="Times New Roman Regular"/>
          <w:color w:val="000000"/>
        </w:rPr>
        <w:t>本文使用的数据包括</w:t>
      </w:r>
      <w:r>
        <w:rPr>
          <w:rFonts w:hint="eastAsia" w:ascii="Times New Roman Regular" w:hAnsi="Times New Roman Regular" w:eastAsia="仿宋" w:cs="Times New Roman Regular"/>
          <w:color w:val="000000"/>
          <w:lang w:val="en-US" w:eastAsia="zh-CN"/>
        </w:rPr>
        <w:t>三</w:t>
      </w:r>
      <w:r>
        <w:rPr>
          <w:rFonts w:hint="default" w:ascii="Times New Roman Regular" w:hAnsi="Times New Roman Regular" w:eastAsia="仿宋" w:cs="Times New Roman Regular"/>
          <w:color w:val="000000"/>
        </w:rPr>
        <w:t>部分：</w:t>
      </w:r>
    </w:p>
    <w:p w14:paraId="53BC542D">
      <w:pPr>
        <w:spacing w:line="276" w:lineRule="auto"/>
        <w:ind w:firstLine="420" w:firstLineChars="200"/>
        <w:rPr>
          <w:rFonts w:hint="default" w:ascii="Times New Roman Regular" w:hAnsi="Times New Roman Regular" w:eastAsia="仿宋" w:cs="Times New Roman Regular"/>
          <w:color w:val="000000"/>
        </w:rPr>
      </w:pPr>
      <w:r>
        <w:rPr>
          <w:rFonts w:hint="default" w:ascii="Times New Roman Regular" w:hAnsi="Times New Roman Regular" w:eastAsia="仿宋" w:cs="Times New Roman Regular"/>
          <w:color w:val="000000"/>
        </w:rPr>
        <w:t>（1）</w:t>
      </w:r>
      <w:bookmarkStart w:id="0" w:name="_Hlk178180604"/>
      <w:r>
        <w:rPr>
          <w:rFonts w:hint="default" w:ascii="Times New Roman Regular" w:hAnsi="Times New Roman Regular" w:eastAsia="仿宋" w:cs="Times New Roman Regular"/>
          <w:color w:val="000000"/>
        </w:rPr>
        <w:t>跨国并购数据</w:t>
      </w:r>
    </w:p>
    <w:p w14:paraId="000FB850">
      <w:pPr>
        <w:spacing w:line="276" w:lineRule="auto"/>
        <w:ind w:firstLine="420" w:firstLineChars="200"/>
        <w:rPr>
          <w:rFonts w:hint="default" w:ascii="Times New Roman Regular" w:hAnsi="Times New Roman Regular" w:eastAsia="仿宋" w:cs="Times New Roman Regular"/>
          <w:szCs w:val="21"/>
          <w:lang w:val="en-US" w:eastAsia="zh-CN"/>
        </w:rPr>
      </w:pPr>
      <w:r>
        <w:rPr>
          <w:rFonts w:hint="default" w:ascii="Times New Roman Regular" w:hAnsi="Times New Roman Regular" w:eastAsia="仿宋" w:cs="Times New Roman Regular"/>
          <w:color w:val="000000"/>
        </w:rPr>
        <w:t>企业跨国并购数据来自沃顿研究数据中心（Wharton Research Data Services, WRDS）发布的Thomson Financial SDC Platinum Database，涵盖了买方企业来源地、卖方企业所在地、目标企业主营NAICS 6位行业、并购金额等数据。Thomson Financial SDC Platinum是全球最权威和使用最广泛的并购数据（刘青等，2017），其也被UNCTAD统计全球跨国并购时所使用。本文将其和对外直接投资公报提供的宏观总量数据进行对比，发现样本期间涵盖了至少63.6%的官方统计跨国并购（详细信息见附录V）</w:t>
      </w:r>
      <w:r>
        <w:rPr>
          <w:rFonts w:hint="default" w:ascii="Times New Roman Regular" w:hAnsi="Times New Roman Regular" w:eastAsia="仿宋" w:cs="Times New Roman Regular"/>
          <w:szCs w:val="21"/>
        </w:rPr>
        <w:t>。</w:t>
      </w:r>
      <w:bookmarkEnd w:id="0"/>
      <w:r>
        <w:rPr>
          <w:rFonts w:hint="eastAsia" w:ascii="Times New Roman Regular" w:hAnsi="Times New Roman Regular" w:eastAsia="仿宋" w:cs="Times New Roman Regular"/>
          <w:szCs w:val="21"/>
          <w:lang w:val="en-US" w:eastAsia="zh-CN"/>
        </w:rPr>
        <w:t>此外，正文图1的中国整体层面的跨国并购和绿地投资金额数据来源于UNCTAD提供的国别层面的对外直接投资数据</w:t>
      </w:r>
      <w:r>
        <w:rPr>
          <w:rStyle w:val="9"/>
          <w:rFonts w:hint="eastAsia" w:ascii="Times New Roman Regular" w:hAnsi="Times New Roman Regular" w:eastAsia="仿宋" w:cs="Times New Roman Regular"/>
          <w:szCs w:val="21"/>
          <w:lang w:val="en-US" w:eastAsia="zh-CN"/>
        </w:rPr>
        <w:footnoteReference w:id="0"/>
      </w:r>
      <w:r>
        <w:rPr>
          <w:rFonts w:hint="eastAsia" w:ascii="Times New Roman Regular" w:hAnsi="Times New Roman Regular" w:eastAsia="仿宋" w:cs="Times New Roman Regular"/>
          <w:szCs w:val="21"/>
          <w:lang w:val="en-US" w:eastAsia="zh-CN"/>
        </w:rPr>
        <w:t>。</w:t>
      </w:r>
    </w:p>
    <w:p w14:paraId="188DB373">
      <w:pPr>
        <w:spacing w:line="276" w:lineRule="auto"/>
        <w:ind w:firstLine="420" w:firstLineChars="200"/>
        <w:rPr>
          <w:rFonts w:hint="default" w:ascii="Times New Roman Regular" w:hAnsi="Times New Roman Regular" w:eastAsia="仿宋" w:cs="Times New Roman Regular"/>
          <w:color w:val="000000"/>
        </w:rPr>
      </w:pPr>
      <w:r>
        <w:rPr>
          <w:rFonts w:hint="default" w:ascii="Times New Roman Regular" w:hAnsi="Times New Roman Regular" w:eastAsia="仿宋" w:cs="Times New Roman Regular"/>
          <w:color w:val="000000"/>
        </w:rPr>
        <w:t>（2）产品层面关税数据</w:t>
      </w:r>
    </w:p>
    <w:p w14:paraId="76B8A437">
      <w:pPr>
        <w:spacing w:line="276" w:lineRule="auto"/>
        <w:ind w:firstLine="420" w:firstLineChars="200"/>
        <w:rPr>
          <w:rFonts w:hint="default" w:ascii="Times New Roman Regular" w:hAnsi="Times New Roman Regular" w:eastAsia="仿宋" w:cs="Times New Roman Regular"/>
          <w:color w:val="000000"/>
        </w:rPr>
      </w:pPr>
      <w:r>
        <w:rPr>
          <w:rFonts w:hint="default" w:ascii="Times New Roman Regular" w:hAnsi="Times New Roman Regular" w:eastAsia="仿宋" w:cs="Times New Roman Regular"/>
          <w:color w:val="000000"/>
        </w:rPr>
        <w:t>本文的2018年1月~2019年12月HS6位产品层面的月度特朗普关税数据来源于Bown（2021）以及Benguria et al.（2022）。其中，Bown（2021）提供了特朗普加征的法定附加关税，Benguria et al.（2022）则提供了从价适用关税。</w:t>
      </w:r>
    </w:p>
    <w:p w14:paraId="74EDB702">
      <w:pPr>
        <w:spacing w:line="276" w:lineRule="auto"/>
        <w:ind w:firstLine="420" w:firstLineChars="200"/>
        <w:rPr>
          <w:rFonts w:hint="eastAsia" w:ascii="Times New Roman Regular" w:hAnsi="Times New Roman Regular" w:eastAsia="仿宋" w:cs="Times New Roman Regular"/>
          <w:color w:val="000000"/>
          <w:lang w:eastAsia="zh-CN"/>
        </w:rPr>
      </w:pPr>
      <w:r>
        <w:rPr>
          <w:rFonts w:hint="eastAsia" w:ascii="Times New Roman Regular" w:hAnsi="Times New Roman Regular" w:eastAsia="仿宋" w:cs="Times New Roman Regular"/>
          <w:color w:val="000000"/>
          <w:lang w:eastAsia="zh-CN"/>
        </w:rPr>
        <w:t>（</w:t>
      </w:r>
      <w:r>
        <w:rPr>
          <w:rFonts w:hint="eastAsia" w:ascii="Times New Roman Regular" w:hAnsi="Times New Roman Regular" w:eastAsia="仿宋" w:cs="Times New Roman Regular"/>
          <w:color w:val="000000"/>
          <w:lang w:val="en-US" w:eastAsia="zh-CN"/>
        </w:rPr>
        <w:t>3</w:t>
      </w:r>
      <w:r>
        <w:rPr>
          <w:rFonts w:hint="eastAsia" w:ascii="Times New Roman Regular" w:hAnsi="Times New Roman Regular" w:eastAsia="仿宋" w:cs="Times New Roman Regular"/>
          <w:color w:val="000000"/>
          <w:lang w:eastAsia="zh-CN"/>
        </w:rPr>
        <w:t>）企业层面进出口数据</w:t>
      </w:r>
    </w:p>
    <w:p w14:paraId="6CA8E9FC">
      <w:pPr>
        <w:spacing w:line="276" w:lineRule="auto"/>
        <w:ind w:firstLine="420" w:firstLineChars="200"/>
        <w:rPr>
          <w:rFonts w:hint="default" w:ascii="Times New Roman Regular" w:hAnsi="Times New Roman Regular" w:eastAsia="仿宋" w:cs="Times New Roman Regular"/>
          <w:color w:val="000000"/>
          <w:lang w:val="en-US" w:eastAsia="zh-CN"/>
        </w:rPr>
      </w:pPr>
      <w:r>
        <w:rPr>
          <w:rFonts w:hint="eastAsia" w:ascii="Times New Roman Regular" w:hAnsi="Times New Roman Regular" w:eastAsia="仿宋" w:cs="Times New Roman Regular"/>
          <w:color w:val="000000"/>
          <w:lang w:eastAsia="zh-CN"/>
        </w:rPr>
        <w:t>2013~2016年上述中国跨国并购企业的HS6位产品层面的进出口数据来源于RESSET海关进出口统计数据库。该数据库提供了中国企业-产品-目的国维度的全样本数据，且是可获取的最新的具有详细企业名称的海关数据，这允许本文可以获取到这些跨国并购企业的基期出口信息（详细信息见附录VI）。</w:t>
      </w:r>
    </w:p>
    <w:p w14:paraId="4468B4CD">
      <w:pPr>
        <w:spacing w:line="276" w:lineRule="auto"/>
        <w:rPr>
          <w:rFonts w:hint="default" w:ascii="Times New Roman Regular" w:hAnsi="Times New Roman Regular" w:eastAsia="仿宋" w:cs="Times New Roman Regular"/>
        </w:rPr>
      </w:pPr>
    </w:p>
    <w:p w14:paraId="02158E1D">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（三）Dofile里面使用的指标说明</w:t>
      </w:r>
    </w:p>
    <w:p w14:paraId="1ACDFBD7">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1</w:t>
      </w: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workdata1.dta的变量：</w:t>
      </w:r>
    </w:p>
    <w:p w14:paraId="28BC40A5">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chinese_parent_id：企业中文名（此处做了脱敏处理，感兴趣的读者可向作者索要）</w:t>
      </w:r>
    </w:p>
    <w:p w14:paraId="55419D0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lnMerge_OFDI_sum18：企业跨国并购存量（以2018年1月为基期累积）的对数</w:t>
      </w:r>
    </w:p>
    <w:p w14:paraId="62BE699C">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Bartik_ex_JPM_USratio：本文的SSIV，share为企业在基期对美国出口的产品金额占该企业对美国总出口的比例，shift为美国对中国出口的产品在y年m月实施的关税水平相对于样本初期的增加额</w:t>
      </w:r>
    </w:p>
    <w:p w14:paraId="0B4DD324">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mdate：年-月日期变量</w:t>
      </w:r>
    </w:p>
    <w:p w14:paraId="0969BB2D">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year：年份变量</w:t>
      </w:r>
    </w:p>
    <w:p w14:paraId="73391192">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month：月份变量</w:t>
      </w:r>
    </w:p>
    <w:p w14:paraId="35F635DD">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firm_year：企业-年组别变量</w:t>
      </w:r>
    </w:p>
    <w:p w14:paraId="666C6E94">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firm_month：企业-月组别变量</w:t>
      </w:r>
    </w:p>
    <w:p w14:paraId="26AF8467">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ROOP：企业营业利润率</w:t>
      </w:r>
    </w:p>
    <w:p w14:paraId="5CAD17CB">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ROA：企业总资产净利润率</w:t>
      </w:r>
    </w:p>
    <w:p w14:paraId="11D2055C">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ROE：企业净资产收益率</w:t>
      </w:r>
    </w:p>
    <w:p w14:paraId="088B271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账面市值比：企业账面市值比</w:t>
      </w:r>
    </w:p>
    <w:p w14:paraId="3BADC2B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if_CFIUS2017：企业进行跨国并购的行业是否在美国2017年外资安全审查目录中，如果是则为1，否则为0</w:t>
      </w:r>
    </w:p>
    <w:p w14:paraId="6C14052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lnMerge_US_sum18：企业对美国跨国并购存量（以2018年1月为基期累积）的对数</w:t>
      </w:r>
    </w:p>
    <w:p w14:paraId="78D6710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lnMerge_nonUS_sum18：企业对非美国跨国并购存量（以2018年1月为基期累积）的对数</w:t>
      </w:r>
    </w:p>
    <w:p w14:paraId="32A3CB3D">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lntpu词频数目：企业贸易政策不确定性对数</w:t>
      </w:r>
    </w:p>
    <w:p w14:paraId="6A838E72">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客户集中度1_2017：企业前五大客户销售收入占总收入比例的HHI指数</w:t>
      </w:r>
    </w:p>
    <w:p w14:paraId="3F09C75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客户集中度3_2017：企业前五大客户销售占比</w:t>
      </w:r>
    </w:p>
    <w:p w14:paraId="2CF18824">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KZ2017：企业融资约束（KZ指数）</w:t>
      </w:r>
    </w:p>
    <w:p w14:paraId="08123FAA">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if_SOE：企业是否为国有企业</w:t>
      </w:r>
    </w:p>
    <w:p w14:paraId="1DFFFFE2">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export：企业2013~2016年的平均出口规模</w:t>
      </w:r>
    </w:p>
    <w:p w14:paraId="6EEB3832">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esg：企业2017年的ESG评分</w:t>
      </w:r>
    </w:p>
    <w:p w14:paraId="23FDC051">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if_export：是否为出口企业</w:t>
      </w:r>
    </w:p>
    <w:p w14:paraId="0C2E9A4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if_USex：企业是否向美国出口</w:t>
      </w:r>
    </w:p>
    <w:p w14:paraId="28942CD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if_man：企业主营行业是否为制造业</w:t>
      </w:r>
    </w:p>
    <w:p w14:paraId="33EC1BD8">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if_entity：企业是否在美国实体清单中</w:t>
      </w:r>
    </w:p>
    <w:p w14:paraId="01BA67C9">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mic2025：企业主营行业是否为中国制造2025重点行业</w:t>
      </w:r>
    </w:p>
    <w:p w14:paraId="32B55E61">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lnMA_nbr_sum18：企业跨国并购项目数量以2018年1月为基期累积）的对数</w:t>
      </w:r>
    </w:p>
    <w:p w14:paraId="5E493A78">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Merge_OFDI：企业跨国并购当期流量</w:t>
      </w:r>
    </w:p>
    <w:p w14:paraId="1D7D861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Bartik_ex_JIE_USratio：将SSIV的shift更换为当期适用关税</w:t>
      </w:r>
    </w:p>
    <w:p w14:paraId="4F46CABA">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lnL1y_Merge_OFDI_sum17：滞后一年的企业跨国并购存量（以2017年1月为基期累积）的对数</w:t>
      </w:r>
    </w:p>
    <w:p w14:paraId="2AEEC5B6">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Bartik_im_JPM_USratio：控制中国进口关税的SSIV，即将基准中的SSIV中的Share和Shift分别更换成进口层面</w:t>
      </w:r>
    </w:p>
    <w:p w14:paraId="1EC0E292">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lnMerge_OFDIUS_FTA_sum18：企业对与美国签订FTA国家的跨国并购存量（以2018年1月为基期累积）的对数</w:t>
      </w:r>
    </w:p>
    <w:p w14:paraId="48912399">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lnMerge_OFDInonUS_FTA_sum18：企业对未与美国签订FTA国家的跨国并购存量（以2018年1月为基期累积）的对数</w:t>
      </w:r>
    </w:p>
    <w:p w14:paraId="7D788A0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lnMerge_OFDI_goodrel_sum18：企业对与美国政治关系较好国家的跨国并购存量（以2018年1月为基期累积）的对数</w:t>
      </w:r>
    </w:p>
    <w:p w14:paraId="27DC0F2D">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lnMerge_OFDI_badrel_sum18：企业对与美国政治关系较差国家的跨国并购存量（以2018年1月为基期累积）的对数</w:t>
      </w:r>
    </w:p>
    <w:p w14:paraId="7AE95809">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lnMerge_OFDIOBOR_sum18：企业对“一带一路”沿线国家的跨国并购存量（以2018年1月为基期累积）的对数</w:t>
      </w:r>
    </w:p>
    <w:p w14:paraId="7BF70F79">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lnMerge_OFDInonOBOR_sum18：企业对非“一带一路”沿线国家的跨国并购存量（以2018年1月为基期累积）的对数</w:t>
      </w:r>
    </w:p>
    <w:p w14:paraId="21759379">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lnMerge_OFDI制造业_sum18：企业在制造业的跨国并购存量（以2018年1月为基期累积）的对数</w:t>
      </w:r>
    </w:p>
    <w:p w14:paraId="7268AB55">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lnMerge_OFDI房产业_sum18：企业在房产业的跨国并购存量（以2018年1月为基期累积）的对数</w:t>
      </w:r>
    </w:p>
    <w:p w14:paraId="46330C14">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lnMerge_OFDI信息业_sum18：企业在信息业的跨国并购存量（以2018年1月为基期累积）的对数</w:t>
      </w:r>
    </w:p>
    <w:p w14:paraId="65CFA9A2">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lnMerge_OFDI采矿业_sum18：企业在采矿业的跨国并购存量（以2018年1月为基期累积）的对数</w:t>
      </w:r>
    </w:p>
    <w:p w14:paraId="70DC824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lnMerge_OFDI其他_sum18：企业在其他行业的跨国并购存量（以2018年1月为基期累积）的对数</w:t>
      </w:r>
    </w:p>
    <w:p w14:paraId="1A0BC318">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lnMA_v_sum18：企业垂直并购的跨国并购存量（以2018年1月为基期累积）的对数</w:t>
      </w:r>
    </w:p>
    <w:p w14:paraId="6FD40C45">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lnMA_h_sum18：企业水平并购的跨国并购存量（以2018年1月为基期累积）的对数</w:t>
      </w:r>
    </w:p>
    <w:p w14:paraId="77907E0B">
      <w:pPr>
        <w:spacing w:line="276" w:lineRule="auto"/>
        <w:rPr>
          <w:rFonts w:hint="default" w:ascii="Times New Roman Regular" w:hAnsi="Times New Roman Regular" w:eastAsia="仿宋" w:cs="Times New Roman Regular"/>
        </w:rPr>
      </w:pPr>
    </w:p>
    <w:p w14:paraId="01D1E4FA">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2</w:t>
      </w: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workdata1_no_tax_haven.dta的变量：</w:t>
      </w:r>
    </w:p>
    <w:p w14:paraId="31DCA725">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lnMerge_OFDI_sum18：剔除前往中国香港、开曼群岛、英属维京群岛以及百慕大等地区后的跨国并购（以2018年1月为基期累积）的对数</w:t>
      </w:r>
    </w:p>
    <w:p w14:paraId="6485C3AC">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Bartik_ex_JPM_USratio：本文的SSIV，share为企业在基期对美国出口的产品金额占该企业对美国总出口的比例，shift为美国对中国出口的产品在y年m月实施的关税水平相对于样本初期的增加额</w:t>
      </w:r>
    </w:p>
    <w:p w14:paraId="553C8D9C">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mdate：年-月日期变量</w:t>
      </w:r>
    </w:p>
    <w:p w14:paraId="6113E1C9">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firm_year：企业-年组别变量</w:t>
      </w:r>
    </w:p>
    <w:p w14:paraId="0BA30B0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firm_month：企业-月组别变量</w:t>
      </w:r>
    </w:p>
    <w:p w14:paraId="68AC7CD5">
      <w:pPr>
        <w:spacing w:line="276" w:lineRule="auto"/>
        <w:rPr>
          <w:rFonts w:hint="default" w:ascii="Times New Roman Regular" w:hAnsi="Times New Roman Regular" w:eastAsia="仿宋" w:cs="Times New Roman Regular"/>
        </w:rPr>
      </w:pPr>
    </w:p>
    <w:p w14:paraId="3E9E34EA">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3</w:t>
      </w: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workdata2.dta的变量：</w:t>
      </w:r>
    </w:p>
    <w:p w14:paraId="75A6155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hs6：hs6位产品</w:t>
      </w:r>
    </w:p>
    <w:p w14:paraId="24419325">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hs4：hs4位产品</w:t>
      </w:r>
    </w:p>
    <w:p w14:paraId="7B6D4FDC">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hs2：hs2位产品</w:t>
      </w:r>
    </w:p>
    <w:p w14:paraId="41B17B1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s_n：hs6产品对美国出口占所有hs6对美国总出口的比例</w:t>
      </w:r>
    </w:p>
    <w:p w14:paraId="3094324C">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mdate： 年-月日期变量</w:t>
      </w:r>
    </w:p>
    <w:p w14:paraId="30F39245">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g：产品被加征的特朗普关税</w:t>
      </w:r>
    </w:p>
    <w:p w14:paraId="040A3109">
      <w:pPr>
        <w:spacing w:line="276" w:lineRule="auto"/>
        <w:rPr>
          <w:rFonts w:hint="default" w:ascii="Times New Roman Regular" w:hAnsi="Times New Roman Regular" w:eastAsia="仿宋" w:cs="Times New Roman Regular"/>
        </w:rPr>
      </w:pPr>
    </w:p>
    <w:p w14:paraId="70571CB2">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4</w:t>
      </w:r>
      <w:r>
        <w:rPr>
          <w:rFonts w:hint="eastAsia" w:ascii="Times New Roman Regular" w:hAnsi="Times New Roman Regular" w:eastAsia="仿宋" w:cs="Times New Roman Regular"/>
          <w:lang w:eastAsia="zh-CN"/>
        </w:rPr>
        <w:t>）</w:t>
      </w:r>
      <w:r>
        <w:rPr>
          <w:rFonts w:hint="default" w:ascii="Times New Roman Regular" w:hAnsi="Times New Roman Regular" w:eastAsia="仿宋" w:cs="Times New Roman Regular"/>
        </w:rPr>
        <w:t>workdata3.dta的变量：</w:t>
      </w:r>
    </w:p>
    <w:p w14:paraId="17EE1486">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val="en-US" w:eastAsia="zh-CN"/>
        </w:rPr>
        <w:t>1、</w:t>
      </w:r>
      <w:r>
        <w:rPr>
          <w:rFonts w:hint="default" w:ascii="Times New Roman Regular" w:hAnsi="Times New Roman Regular" w:eastAsia="仿宋" w:cs="Times New Roman Regular"/>
        </w:rPr>
        <w:t>workdata3_hs6.dta:</w:t>
      </w:r>
    </w:p>
    <w:p w14:paraId="7740496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hs6：hs6位产品</w:t>
      </w:r>
    </w:p>
    <w:p w14:paraId="3918D086">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hs4：hs4位产品</w:t>
      </w:r>
    </w:p>
    <w:p w14:paraId="4FA451A3">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s_n：hs6产品对美国出口占所有hs6对美国总出口的比例</w:t>
      </w:r>
    </w:p>
    <w:p w14:paraId="6827BED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mdate： 年-月日期变量</w:t>
      </w:r>
    </w:p>
    <w:p w14:paraId="13A2F63B">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Tariff：产品被加征的特朗普关税</w:t>
      </w:r>
    </w:p>
    <w:p w14:paraId="63CF30B4">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Tariff_im_15_16： 中国2015-2016年产品平均进口从价关税</w:t>
      </w:r>
    </w:p>
    <w:p w14:paraId="7DE76232">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US_CHN_init_AD_number_13_17： 美国对中国发起的反倾销数量（2013~2017年总数量）</w:t>
      </w:r>
    </w:p>
    <w:p w14:paraId="60763C58">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US_CHN_init_AD_number：美国对中国发起的反倾销数量（当年数量）</w:t>
      </w:r>
    </w:p>
    <w:p w14:paraId="655ED1E8">
      <w:pPr>
        <w:spacing w:line="276" w:lineRule="auto"/>
        <w:rPr>
          <w:rFonts w:hint="default" w:ascii="Times New Roman Regular" w:hAnsi="Times New Roman Regular" w:eastAsia="仿宋" w:cs="Times New Roman Regular"/>
        </w:rPr>
      </w:pPr>
    </w:p>
    <w:p w14:paraId="5A98290B">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val="en-US" w:eastAsia="zh-CN"/>
        </w:rPr>
        <w:t>2、</w:t>
      </w:r>
      <w:r>
        <w:rPr>
          <w:rFonts w:hint="default" w:ascii="Times New Roman Regular" w:hAnsi="Times New Roman Regular" w:eastAsia="仿宋" w:cs="Times New Roman Regular"/>
        </w:rPr>
        <w:t>workdata3_firm.dta的变量:</w:t>
      </w:r>
    </w:p>
    <w:p w14:paraId="2580C45A">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mdate：年-月日期变量</w:t>
      </w:r>
    </w:p>
    <w:p w14:paraId="15E8C1B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chinese_parent_id：企业中文名（此处做了脱敏处理，感兴趣的读者可向作者索要）</w:t>
      </w:r>
    </w:p>
    <w:p w14:paraId="2B120B2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z：本文的SSIV，与workdata1中的Bartik_ex_JPM_USratio相同</w:t>
      </w:r>
    </w:p>
    <w:p w14:paraId="50C1F57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wei_18_19：回归权重，基准样本中跨国并购企业对美国出口占所有样本企业对美国总出口的比例</w:t>
      </w:r>
    </w:p>
    <w:p w14:paraId="29B2FB3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MA2013_2017_tot：企业2013~2017年跨国并购总额</w:t>
      </w:r>
    </w:p>
    <w:p w14:paraId="2FEDB6A7">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MA2013_2017_mean：企业2013~2017年跨国并购均值</w:t>
      </w:r>
    </w:p>
    <w:p w14:paraId="3C4ACB87">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clus：chinese_parent_id的数字代码</w:t>
      </w:r>
    </w:p>
    <w:p w14:paraId="147A5FD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ex_US_ratio：企业对美国出口占总出口的比例 (2013~2016年)</w:t>
      </w:r>
    </w:p>
    <w:p w14:paraId="70090093">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ratio1：企业的行业1出口占企业总出口比例（机器、机械器具、电气设备及其零件;录音机及放声机、电视图像、声音的录制和重放设备及其零件、附件）</w:t>
      </w:r>
    </w:p>
    <w:p w14:paraId="5F19C294">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ratio2：企业的行业2出口占企业总出口比例（杂项制品）</w:t>
      </w:r>
    </w:p>
    <w:p w14:paraId="222C0FD7">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ratio3：企业的行业3出口占企业总出口比例（纺织原料及纺织制品）</w:t>
      </w:r>
    </w:p>
    <w:p w14:paraId="47D4B9CF">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ratio4：企业的行业4出口占企业总出口比例（贱金属及其制品）</w:t>
      </w:r>
    </w:p>
    <w:p w14:paraId="070B903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ratio5：企业的行业5出口占企业总出口比例（塑料及其制品、橡胶及其制品）</w:t>
      </w:r>
    </w:p>
    <w:p w14:paraId="754C3A71">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ratio6：企业的行业6出口占企业总出口比例（鞋、帽、伞、杖、鞭及其零件;已加工的羽毛及其制品;人造花;人发制品）</w:t>
      </w:r>
    </w:p>
    <w:p w14:paraId="3312C71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ratio7：企业的行业7出口占企业总出口比例（车辆、航空器、船舶及有关运输设备）</w:t>
      </w:r>
    </w:p>
    <w:p w14:paraId="6F6B842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ratio8：企业的行业8出口占企业总出口比例（化学工业及其相关工业的产品）</w:t>
      </w:r>
    </w:p>
    <w:p w14:paraId="0EA06E3E">
      <w:pPr>
        <w:spacing w:line="276" w:lineRule="auto"/>
        <w:rPr>
          <w:rFonts w:hint="default" w:ascii="Times New Roman Regular" w:hAnsi="Times New Roman Regular" w:eastAsia="仿宋" w:cs="Times New Roman Regular"/>
        </w:rPr>
      </w:pPr>
    </w:p>
    <w:p w14:paraId="49D2DDA9">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val="en-US" w:eastAsia="zh-CN"/>
        </w:rPr>
        <w:t>（5）</w:t>
      </w:r>
      <w:r>
        <w:rPr>
          <w:rFonts w:hint="default" w:ascii="Times New Roman Regular" w:hAnsi="Times New Roman Regular" w:eastAsia="仿宋" w:cs="Times New Roman Regular"/>
        </w:rPr>
        <w:t>Fshares.dta的变量:</w:t>
      </w:r>
    </w:p>
    <w:p w14:paraId="5809ED8A">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 xml:space="preserve">chinese_parent_id：企业中文名（此处做了脱敏处理，感兴趣的读者可向作者索要） </w:t>
      </w:r>
    </w:p>
    <w:p w14:paraId="42C6ECFD">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hs6：hs6位产品</w:t>
      </w:r>
    </w:p>
    <w:p w14:paraId="6A8D054A">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hs6share： 企业hs6产品（2013~2016年平均）出口占企业总出口的比例，不随时间变化</w:t>
      </w:r>
    </w:p>
    <w:p w14:paraId="24069D21">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mdate：年-月日期变量</w:t>
      </w:r>
    </w:p>
    <w:p w14:paraId="1FD6C172">
      <w:pPr>
        <w:spacing w:line="276" w:lineRule="auto"/>
        <w:rPr>
          <w:rFonts w:hint="default" w:ascii="Times New Roman Regular" w:hAnsi="Times New Roman Regular" w:eastAsia="仿宋" w:cs="Times New Roman Regular"/>
        </w:rPr>
      </w:pPr>
    </w:p>
    <w:p w14:paraId="5D58FCAB">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val="en-US" w:eastAsia="zh-CN"/>
        </w:rPr>
        <w:t>（6）</w:t>
      </w:r>
      <w:r>
        <w:rPr>
          <w:rFonts w:hint="default" w:ascii="Times New Roman Regular" w:hAnsi="Times New Roman Regular" w:eastAsia="仿宋" w:cs="Times New Roman Regular"/>
        </w:rPr>
        <w:t>workdata4.dta的变量：</w:t>
      </w:r>
    </w:p>
    <w:p w14:paraId="5E9A4201">
      <w:pPr>
        <w:spacing w:line="276" w:lineRule="auto"/>
        <w:ind w:firstLine="420" w:firstLineChars="200"/>
        <w:rPr>
          <w:rFonts w:hint="eastAsia" w:ascii="Times New Roman Regular" w:hAnsi="Times New Roman Regular" w:eastAsia="仿宋" w:cs="Times New Roman Regular"/>
          <w:lang w:eastAsia="zh-CN"/>
        </w:rPr>
      </w:pPr>
      <w:r>
        <w:rPr>
          <w:rFonts w:hint="default" w:ascii="Times New Roman Regular" w:hAnsi="Times New Roman Regular" w:eastAsia="仿宋" w:cs="Times New Roman Regular"/>
        </w:rPr>
        <w:t>将文章基准的被解释变量（对世界总体跨国并购）拆分成企业对各个国家或地区的跨国并购之后，可以生成企业对所有国家跨国并购存量的对数变量，因此可以分析特朗普关税影响企业对每个国家的跨国并购情况</w:t>
      </w:r>
      <w:r>
        <w:rPr>
          <w:rFonts w:hint="eastAsia" w:ascii="Times New Roman Regular" w:hAnsi="Times New Roman Regular" w:eastAsia="仿宋" w:cs="Times New Roman Regular"/>
          <w:lang w:eastAsia="zh-CN"/>
        </w:rPr>
        <w:t>。</w:t>
      </w:r>
    </w:p>
    <w:p w14:paraId="6659106B">
      <w:pPr>
        <w:spacing w:line="276" w:lineRule="auto"/>
        <w:ind w:firstLine="0" w:firstLineChars="0"/>
        <w:rPr>
          <w:rFonts w:hint="eastAsia" w:ascii="Times New Roman Regular" w:hAnsi="Times New Roman Regular" w:eastAsia="仿宋" w:cs="Times New Roman Regular"/>
          <w:lang w:eastAsia="zh-CN"/>
        </w:rPr>
      </w:pPr>
    </w:p>
    <w:p w14:paraId="4AEB3805">
      <w:pPr>
        <w:spacing w:line="276" w:lineRule="auto"/>
        <w:ind w:firstLine="0" w:firstLineChars="0"/>
        <w:rPr>
          <w:rFonts w:hint="default" w:ascii="Times New Roman Regular" w:hAnsi="Times New Roman Regular" w:eastAsia="仿宋" w:cs="Times New Roman Regular"/>
          <w:lang w:val="en-US" w:eastAsia="zh-CN"/>
        </w:rPr>
      </w:pPr>
      <w:r>
        <w:rPr>
          <w:rFonts w:hint="eastAsia" w:ascii="Times New Roman Regular" w:hAnsi="Times New Roman Regular" w:eastAsia="仿宋" w:cs="Times New Roman Regular"/>
          <w:lang w:val="en-US" w:eastAsia="zh-CN"/>
        </w:rPr>
        <w:t>1、</w:t>
      </w:r>
      <w:r>
        <w:rPr>
          <w:rFonts w:hint="default" w:ascii="Times New Roman Regular" w:hAnsi="Times New Roman Regular" w:eastAsia="仿宋" w:cs="Times New Roman Regular"/>
        </w:rPr>
        <w:t>workdata4</w:t>
      </w:r>
      <w:r>
        <w:rPr>
          <w:rFonts w:hint="eastAsia" w:ascii="Times New Roman Regular" w:hAnsi="Times New Roman Regular" w:eastAsia="仿宋" w:cs="Times New Roman Regular"/>
          <w:lang w:val="en-US" w:eastAsia="zh-CN"/>
        </w:rPr>
        <w:t>_firm_country</w:t>
      </w:r>
      <w:r>
        <w:rPr>
          <w:rFonts w:hint="default" w:ascii="Times New Roman Regular" w:hAnsi="Times New Roman Regular" w:eastAsia="仿宋" w:cs="Times New Roman Regular"/>
        </w:rPr>
        <w:t>.dta的变量：</w:t>
      </w:r>
    </w:p>
    <w:p w14:paraId="2B468622">
      <w:pPr>
        <w:spacing w:line="276" w:lineRule="auto"/>
        <w:rPr>
          <w:rFonts w:hint="default" w:ascii="Times New Roman Regular" w:hAnsi="Times New Roman Regular" w:eastAsia="仿宋" w:cs="Times New Roman Regular"/>
          <w:lang w:val="en-US" w:eastAsia="zh-CN"/>
        </w:rPr>
      </w:pPr>
      <w:r>
        <w:rPr>
          <w:rFonts w:hint="default" w:ascii="Times New Roman Regular" w:hAnsi="Times New Roman Regular" w:eastAsia="仿宋" w:cs="Times New Roman Regular"/>
          <w:lang w:val="en-US" w:eastAsia="zh-CN"/>
        </w:rPr>
        <w:t>lnMerge_OFDIARE_sum18-lnMerge_OFDIZAF_sum18</w:t>
      </w:r>
      <w:r>
        <w:rPr>
          <w:rFonts w:hint="eastAsia" w:ascii="Times New Roman Regular" w:hAnsi="Times New Roman Regular" w:eastAsia="仿宋" w:cs="Times New Roman Regular"/>
          <w:lang w:val="en-US" w:eastAsia="zh-CN"/>
        </w:rPr>
        <w:t>：</w:t>
      </w:r>
      <w:r>
        <w:rPr>
          <w:rFonts w:hint="default" w:ascii="Times New Roman Regular" w:hAnsi="Times New Roman Regular" w:eastAsia="仿宋" w:cs="Times New Roman Regular"/>
        </w:rPr>
        <w:t>企业</w:t>
      </w:r>
      <w:r>
        <w:rPr>
          <w:rFonts w:hint="eastAsia" w:ascii="Times New Roman Regular" w:hAnsi="Times New Roman Regular" w:eastAsia="仿宋" w:cs="Times New Roman Regular"/>
          <w:lang w:val="en-US" w:eastAsia="zh-CN"/>
        </w:rPr>
        <w:t>对各个国家</w:t>
      </w:r>
      <w:r>
        <w:rPr>
          <w:rFonts w:hint="default" w:ascii="Times New Roman Regular" w:hAnsi="Times New Roman Regular" w:eastAsia="仿宋" w:cs="Times New Roman Regular"/>
        </w:rPr>
        <w:t>的跨国并购存量（以2018年1月为基期累积）的对数</w:t>
      </w:r>
      <w:r>
        <w:rPr>
          <w:rFonts w:hint="eastAsia" w:ascii="Times New Roman Regular" w:hAnsi="Times New Roman Regular" w:eastAsia="仿宋" w:cs="Times New Roman Regular"/>
          <w:lang w:eastAsia="zh-CN"/>
        </w:rPr>
        <w:t>，</w:t>
      </w:r>
      <w:r>
        <w:rPr>
          <w:rFonts w:hint="eastAsia" w:ascii="Times New Roman Regular" w:hAnsi="Times New Roman Regular" w:eastAsia="仿宋" w:cs="Times New Roman Regular"/>
          <w:lang w:val="en-US" w:eastAsia="zh-CN"/>
        </w:rPr>
        <w:t>其中“ARE”-“</w:t>
      </w:r>
      <w:r>
        <w:rPr>
          <w:rFonts w:hint="default" w:ascii="Times New Roman Regular" w:hAnsi="Times New Roman Regular" w:eastAsia="仿宋" w:cs="Times New Roman Regular"/>
          <w:lang w:val="en-US" w:eastAsia="zh-CN"/>
        </w:rPr>
        <w:t>ZAF</w:t>
      </w:r>
      <w:r>
        <w:rPr>
          <w:rFonts w:hint="eastAsia" w:ascii="Times New Roman Regular" w:hAnsi="Times New Roman Regular" w:eastAsia="仿宋" w:cs="Times New Roman Regular"/>
          <w:lang w:val="en-US" w:eastAsia="zh-CN"/>
        </w:rPr>
        <w:t>”为东道国对应的ISO3位代码</w:t>
      </w:r>
    </w:p>
    <w:p w14:paraId="7D9CE616">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Bartik_ex_JPM_USratio：本文的SSIV，share为企业在基期对美国出口的产品金额占该企业对美国总出口的比例，shift为美国对中国出口的产品在y年m月实施的关税水平相对于样本初期的增加额</w:t>
      </w:r>
    </w:p>
    <w:p w14:paraId="5E0B8A54">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firm_year：企业-年组别变量</w:t>
      </w:r>
    </w:p>
    <w:p w14:paraId="4D272AB9">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firm_month：企业-月组别变量</w:t>
      </w:r>
    </w:p>
    <w:p w14:paraId="043AE960">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lang w:val="en-US" w:eastAsia="zh-CN"/>
        </w:rPr>
        <w:t>mdate</w:t>
      </w:r>
      <w:r>
        <w:rPr>
          <w:rFonts w:hint="eastAsia" w:ascii="Times New Roman Regular" w:hAnsi="Times New Roman Regular" w:eastAsia="仿宋" w:cs="Times New Roman Regular"/>
          <w:lang w:val="en-US" w:eastAsia="zh-CN"/>
        </w:rPr>
        <w:t>：</w:t>
      </w:r>
      <w:r>
        <w:rPr>
          <w:rFonts w:hint="default" w:ascii="Times New Roman Regular" w:hAnsi="Times New Roman Regular" w:eastAsia="仿宋" w:cs="Times New Roman Regular"/>
        </w:rPr>
        <w:t>年-月日期变量</w:t>
      </w:r>
    </w:p>
    <w:p w14:paraId="74777471">
      <w:pPr>
        <w:spacing w:line="276" w:lineRule="auto"/>
        <w:rPr>
          <w:rFonts w:hint="default" w:ascii="Times New Roman Regular" w:hAnsi="Times New Roman Regular" w:eastAsia="仿宋" w:cs="Times New Roman Regular"/>
        </w:rPr>
      </w:pPr>
    </w:p>
    <w:p w14:paraId="43826326">
      <w:pPr>
        <w:spacing w:line="276" w:lineRule="auto"/>
        <w:rPr>
          <w:rFonts w:hint="default" w:ascii="Times New Roman Regular" w:hAnsi="Times New Roman Regular" w:eastAsia="仿宋" w:cs="Times New Roman Regular"/>
        </w:rPr>
      </w:pPr>
      <w:r>
        <w:rPr>
          <w:rFonts w:hint="eastAsia" w:ascii="Times New Roman Regular" w:hAnsi="Times New Roman Regular" w:eastAsia="仿宋" w:cs="Times New Roman Regular"/>
          <w:lang w:val="en-US" w:eastAsia="zh-CN"/>
        </w:rPr>
        <w:t>2、</w:t>
      </w:r>
      <w:r>
        <w:rPr>
          <w:rFonts w:hint="default" w:ascii="Times New Roman Regular" w:hAnsi="Times New Roman Regular" w:eastAsia="仿宋" w:cs="Times New Roman Regular"/>
        </w:rPr>
        <w:t>workdata4.dta的变量：</w:t>
      </w:r>
    </w:p>
    <w:p w14:paraId="095B7B5A">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ISO3：国家或地区ISO3位代码</w:t>
      </w:r>
    </w:p>
    <w:p w14:paraId="08C11E55">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CountryName： 国家或地区英文名称</w:t>
      </w:r>
    </w:p>
    <w:p w14:paraId="6EFE8358">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系数：对该国家或地区跨国并购的回归系数值</w:t>
      </w:r>
    </w:p>
    <w:p w14:paraId="2CEAE01E">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p值：对该国家或地区跨国并购的回归p值</w:t>
      </w:r>
    </w:p>
    <w:p w14:paraId="7868AAC8">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标准误： 对该国家或地区跨国并购的回归标准误</w:t>
      </w:r>
    </w:p>
    <w:p w14:paraId="00A1D13B">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观测值：对该国家或地区跨国并购的回归观测值</w:t>
      </w:r>
    </w:p>
    <w:p w14:paraId="4E462701">
      <w:pPr>
        <w:spacing w:line="276" w:lineRule="auto"/>
        <w:rPr>
          <w:rFonts w:hint="default" w:ascii="Times New Roman Regular" w:hAnsi="Times New Roman Regular" w:eastAsia="仿宋" w:cs="Times New Roman Regular"/>
        </w:rPr>
      </w:pPr>
      <w:r>
        <w:rPr>
          <w:rFonts w:hint="default" w:ascii="Times New Roman Regular" w:hAnsi="Times New Roman Regular" w:eastAsia="仿宋" w:cs="Times New Roman Regular"/>
        </w:rPr>
        <w:t>调整R方：对该国家或地区跨国并购的回归调整R方</w:t>
      </w:r>
    </w:p>
    <w:p w14:paraId="471BA7B4">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Regular" w:hAnsi="Times New Roman Regular" w:eastAsia="STFangsong" w:cs="Times New Roman Regular"/>
          <w:color w:val="000000"/>
          <w:kern w:val="0"/>
          <w:sz w:val="21"/>
          <w:szCs w:val="21"/>
          <w:lang w:val="en-US" w:eastAsia="zh-CN" w:bidi="ar"/>
        </w:rPr>
        <w:t>gnp_per_2017：2017年世界</w:t>
      </w:r>
      <w:r>
        <w:rPr>
          <w:rFonts w:ascii="Times New Roman Regular" w:hAnsi="Times New Roman Regular" w:eastAsia="STFangsong" w:cs="Times New Roman Regular"/>
          <w:color w:val="000000"/>
          <w:kern w:val="0"/>
          <w:sz w:val="21"/>
          <w:szCs w:val="21"/>
          <w:lang w:val="en-US" w:eastAsia="zh-CN" w:bidi="ar"/>
        </w:rPr>
        <w:t>各国的</w:t>
      </w:r>
      <w:r>
        <w:rPr>
          <w:rFonts w:ascii="STFangsong" w:hAnsi="STFangsong" w:eastAsia="STFangsong" w:cs="STFangsong"/>
          <w:color w:val="000000"/>
          <w:kern w:val="0"/>
          <w:sz w:val="21"/>
          <w:szCs w:val="21"/>
          <w:lang w:val="en-US" w:eastAsia="zh-CN" w:bidi="ar"/>
        </w:rPr>
        <w:t xml:space="preserve">人均 </w:t>
      </w:r>
      <w:r>
        <w:rPr>
          <w:rFonts w:hint="default" w:ascii="Times New Roman" w:hAnsi="Times New Roman" w:eastAsia="宋体" w:cs="Times New Roman"/>
          <w:color w:val="000000"/>
          <w:kern w:val="0"/>
          <w:sz w:val="21"/>
          <w:szCs w:val="21"/>
          <w:lang w:val="en-US" w:eastAsia="zh-CN" w:bidi="ar"/>
        </w:rPr>
        <w:t>GNP</w:t>
      </w:r>
      <w:r>
        <w:rPr>
          <w:rFonts w:hint="eastAsia" w:ascii="Times New Roman" w:hAnsi="Times New Roman" w:eastAsia="宋体" w:cs="Times New Roman"/>
          <w:color w:val="000000"/>
          <w:kern w:val="0"/>
          <w:sz w:val="21"/>
          <w:szCs w:val="21"/>
          <w:lang w:val="en-US" w:eastAsia="zh-CN" w:bidi="ar"/>
        </w:rPr>
        <w:t>（美元）</w:t>
      </w:r>
    </w:p>
    <w:p w14:paraId="0D3158BF">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default" w:ascii="Times New Roman Regular" w:hAnsi="Times New Roman Regular" w:eastAsia="STFangsong" w:cs="Times New Roman Regular"/>
          <w:color w:val="000000"/>
          <w:kern w:val="0"/>
          <w:sz w:val="21"/>
          <w:szCs w:val="21"/>
          <w:lang w:val="en-US" w:eastAsia="zh-CN" w:bidi="ar"/>
        </w:rPr>
        <w:t>distcap</w:t>
      </w:r>
      <w:r>
        <w:rPr>
          <w:rFonts w:hint="eastAsia" w:ascii="STFangsong" w:hAnsi="STFangsong" w:eastAsia="STFangsong" w:cs="STFangsong"/>
          <w:color w:val="000000"/>
          <w:kern w:val="0"/>
          <w:sz w:val="21"/>
          <w:szCs w:val="21"/>
          <w:lang w:val="en-US" w:eastAsia="zh-CN" w:bidi="ar"/>
        </w:rPr>
        <w:t>：</w:t>
      </w:r>
      <w:r>
        <w:rPr>
          <w:rFonts w:ascii="STFangsong" w:hAnsi="STFangsong" w:eastAsia="STFangsong" w:cs="STFangsong"/>
          <w:color w:val="000000"/>
          <w:kern w:val="0"/>
          <w:sz w:val="21"/>
          <w:szCs w:val="21"/>
          <w:lang w:val="en-US" w:eastAsia="zh-CN" w:bidi="ar"/>
        </w:rPr>
        <w:t>各国</w:t>
      </w:r>
      <w:r>
        <w:rPr>
          <w:rFonts w:hint="eastAsia" w:ascii="STFangsong" w:hAnsi="STFangsong" w:eastAsia="STFangsong" w:cs="STFangsong"/>
          <w:color w:val="000000"/>
          <w:kern w:val="0"/>
          <w:sz w:val="21"/>
          <w:szCs w:val="21"/>
          <w:lang w:val="en-US" w:eastAsia="zh-CN" w:bidi="ar"/>
        </w:rPr>
        <w:t>首都</w:t>
      </w:r>
      <w:r>
        <w:rPr>
          <w:rFonts w:ascii="STFangsong" w:hAnsi="STFangsong" w:eastAsia="STFangsong" w:cs="STFangsong"/>
          <w:color w:val="000000"/>
          <w:kern w:val="0"/>
          <w:sz w:val="21"/>
          <w:szCs w:val="21"/>
          <w:lang w:val="en-US" w:eastAsia="zh-CN" w:bidi="ar"/>
        </w:rPr>
        <w:t>和美国</w:t>
      </w:r>
      <w:r>
        <w:rPr>
          <w:rFonts w:hint="eastAsia" w:ascii="STFangsong" w:hAnsi="STFangsong" w:eastAsia="STFangsong" w:cs="STFangsong"/>
          <w:color w:val="000000"/>
          <w:kern w:val="0"/>
          <w:sz w:val="21"/>
          <w:szCs w:val="21"/>
          <w:lang w:val="en-US" w:eastAsia="zh-CN" w:bidi="ar"/>
        </w:rPr>
        <w:t>首都的</w:t>
      </w:r>
      <w:r>
        <w:rPr>
          <w:rFonts w:ascii="STFangsong" w:hAnsi="STFangsong" w:eastAsia="STFangsong" w:cs="STFangsong"/>
          <w:color w:val="000000"/>
          <w:kern w:val="0"/>
          <w:sz w:val="21"/>
          <w:szCs w:val="21"/>
          <w:lang w:val="en-US" w:eastAsia="zh-CN" w:bidi="ar"/>
        </w:rPr>
        <w:t>地理距离</w:t>
      </w:r>
      <w:r>
        <w:rPr>
          <w:rFonts w:hint="eastAsia" w:ascii="STFangsong" w:hAnsi="STFangsong" w:eastAsia="STFangsong" w:cs="STFangsong"/>
          <w:color w:val="000000"/>
          <w:kern w:val="0"/>
          <w:sz w:val="21"/>
          <w:szCs w:val="21"/>
          <w:lang w:val="en-US" w:eastAsia="zh-CN" w:bidi="ar"/>
        </w:rPr>
        <w:t>（公里）</w:t>
      </w:r>
    </w:p>
    <w:p w14:paraId="76758EA9">
      <w:pPr>
        <w:spacing w:line="276" w:lineRule="auto"/>
        <w:rPr>
          <w:rFonts w:hint="default" w:ascii="Times New Roman Regular" w:hAnsi="Times New Roman Regular" w:eastAsia="仿宋" w:cs="Times New Roman Regular"/>
        </w:rPr>
      </w:pPr>
    </w:p>
    <w:p w14:paraId="0DC5C366">
      <w:pPr>
        <w:spacing w:line="276" w:lineRule="auto"/>
        <w:rPr>
          <w:rFonts w:hint="default" w:ascii="Times New Roman Regular" w:hAnsi="Times New Roman Regular" w:eastAsia="仿宋" w:cs="Times New Roman Regular"/>
        </w:rPr>
      </w:pPr>
    </w:p>
    <w:p w14:paraId="7A7645A0">
      <w:pPr>
        <w:spacing w:line="276" w:lineRule="auto"/>
        <w:rPr>
          <w:rFonts w:hint="eastAsia" w:ascii="Times New Roman Regular" w:hAnsi="Times New Roman Regular" w:eastAsia="仿宋" w:cs="Times New Roman Regular"/>
          <w:lang w:val="en-US" w:eastAsia="zh-CN"/>
        </w:rPr>
      </w:pPr>
      <w:r>
        <w:rPr>
          <w:rFonts w:hint="eastAsia" w:ascii="Times New Roman Regular" w:hAnsi="Times New Roman Regular" w:eastAsia="仿宋" w:cs="Times New Roman Regular"/>
          <w:lang w:val="en-US" w:eastAsia="zh-CN"/>
        </w:rPr>
        <w:t>（7）描述性统计_关税.dta的变量:</w:t>
      </w:r>
    </w:p>
    <w:p w14:paraId="5E660FE3">
      <w:pPr>
        <w:spacing w:line="276" w:lineRule="auto"/>
        <w:rPr>
          <w:rFonts w:hint="eastAsia" w:ascii="Times New Roman Regular" w:hAnsi="Times New Roman Regular" w:eastAsia="仿宋" w:cs="Times New Roman Regular"/>
          <w:lang w:val="en-US" w:eastAsia="zh-CN"/>
        </w:rPr>
      </w:pPr>
      <w:r>
        <w:rPr>
          <w:rFonts w:hint="eastAsia" w:ascii="Times New Roman Regular" w:hAnsi="Times New Roman Regular" w:eastAsia="仿宋" w:cs="Times New Roman Regular"/>
          <w:lang w:val="en-US" w:eastAsia="zh-CN"/>
        </w:rPr>
        <w:t>mdate: 年-月日期变量</w:t>
      </w:r>
    </w:p>
    <w:p w14:paraId="5C275F70">
      <w:pPr>
        <w:spacing w:line="276" w:lineRule="auto"/>
        <w:rPr>
          <w:rFonts w:hint="eastAsia" w:ascii="Times New Roman Regular" w:hAnsi="Times New Roman Regular" w:eastAsia="仿宋" w:cs="Times New Roman Regular"/>
          <w:lang w:val="en-US" w:eastAsia="zh-CN"/>
        </w:rPr>
      </w:pPr>
      <w:r>
        <w:rPr>
          <w:rFonts w:hint="eastAsia" w:ascii="Times New Roman Regular" w:hAnsi="Times New Roman Regular" w:eastAsia="仿宋" w:cs="Times New Roman Regular"/>
          <w:lang w:val="en-US" w:eastAsia="zh-CN"/>
        </w:rPr>
        <w:t>特朗普平均关税: 各年-月维度特朗普平均关税</w:t>
      </w:r>
    </w:p>
    <w:p w14:paraId="160FB322">
      <w:pPr>
        <w:spacing w:line="276" w:lineRule="auto"/>
        <w:rPr>
          <w:rFonts w:hint="default" w:ascii="Times New Roman Regular" w:hAnsi="Times New Roman Regular" w:eastAsia="仿宋" w:cs="Times New Roman Regular"/>
          <w:lang w:val="en-US" w:eastAsia="zh-CN"/>
        </w:rPr>
      </w:pPr>
      <w:r>
        <w:rPr>
          <w:rFonts w:hint="eastAsia" w:ascii="Times New Roman Regular" w:hAnsi="Times New Roman Regular" w:eastAsia="仿宋" w:cs="Times New Roman Regular"/>
          <w:lang w:val="en-US" w:eastAsia="zh-CN"/>
        </w:rPr>
        <w:t>受特朗普关税影响产品的出口占比: 受特朗普关税影响的出口产品占对美国总出口的比例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imes New Roman Regular">
    <w:panose1 w:val="02020503050405090304"/>
    <w:charset w:val="00"/>
    <w:family w:val="auto"/>
    <w:pitch w:val="default"/>
    <w:sig w:usb0="E0000AFF" w:usb1="00007843" w:usb2="00000001" w:usb3="00000000" w:csb0="400001BF" w:csb1="DFF70000"/>
  </w:font>
  <w:font w:name="仿宋">
    <w:altName w:val="方正仿宋_GBK"/>
    <w:panose1 w:val="02010609060101010101"/>
    <w:charset w:val="86"/>
    <w:family w:val="modern"/>
    <w:pitch w:val="default"/>
    <w:sig w:usb0="00000000" w:usb1="00000000" w:usb2="00000016" w:usb3="00000000" w:csb0="00040001" w:csb1="00000000"/>
  </w:font>
  <w:font w:name="STFangsong">
    <w:panose1 w:val="02010600040101010101"/>
    <w:charset w:val="86"/>
    <w:family w:val="auto"/>
    <w:pitch w:val="default"/>
    <w:sig w:usb0="00000287" w:usb1="080F0000" w:usb2="00000000" w:usb3="00000000" w:csb0="0004009F" w:csb1="DFD7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CE0535E">
      <w:pPr>
        <w:pStyle w:val="5"/>
        <w:snapToGrid w:val="0"/>
      </w:pPr>
      <w:r>
        <w:rPr>
          <w:rStyle w:val="9"/>
        </w:rPr>
        <w:footnoteRef/>
      </w:r>
      <w:r>
        <w:t xml:space="preserve"> </w:t>
      </w:r>
      <w:r>
        <w:rPr>
          <w:rFonts w:hint="eastAsia" w:ascii="仿宋" w:hAnsi="仿宋" w:eastAsia="仿宋" w:cs="仿宋"/>
          <w:lang w:val="en-US" w:eastAsia="zh-CN"/>
        </w:rPr>
        <w:t>数据来源详见</w:t>
      </w:r>
      <w:r>
        <w:rPr>
          <w:rFonts w:hint="eastAsia" w:ascii="Times New Roman Regular" w:hAnsi="Times New Roman Regular" w:eastAsia="仿宋" w:cs="Times New Roman Regular"/>
          <w:szCs w:val="21"/>
          <w:lang w:val="en-US" w:eastAsia="zh-CN"/>
        </w:rPr>
        <w:t>https://unctad.org/topic/investment/world-investment-report。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44C83"/>
    <w:rsid w:val="000607BF"/>
    <w:rsid w:val="000801AE"/>
    <w:rsid w:val="00084D6A"/>
    <w:rsid w:val="000A633E"/>
    <w:rsid w:val="000F091C"/>
    <w:rsid w:val="00147C94"/>
    <w:rsid w:val="0018359A"/>
    <w:rsid w:val="00194FC2"/>
    <w:rsid w:val="001A6C40"/>
    <w:rsid w:val="001B627D"/>
    <w:rsid w:val="001D503D"/>
    <w:rsid w:val="001F1B59"/>
    <w:rsid w:val="001F3E4B"/>
    <w:rsid w:val="00205FFF"/>
    <w:rsid w:val="00217792"/>
    <w:rsid w:val="00222E6F"/>
    <w:rsid w:val="00226F21"/>
    <w:rsid w:val="0023518D"/>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30424E"/>
    <w:rsid w:val="00316314"/>
    <w:rsid w:val="0032094B"/>
    <w:rsid w:val="00347122"/>
    <w:rsid w:val="003660F3"/>
    <w:rsid w:val="003A002F"/>
    <w:rsid w:val="003A0CE3"/>
    <w:rsid w:val="003A3528"/>
    <w:rsid w:val="003B1006"/>
    <w:rsid w:val="003B2D6D"/>
    <w:rsid w:val="003F1D92"/>
    <w:rsid w:val="00477E4F"/>
    <w:rsid w:val="00495F23"/>
    <w:rsid w:val="004B143C"/>
    <w:rsid w:val="004B7EAA"/>
    <w:rsid w:val="004C6CFE"/>
    <w:rsid w:val="004D5A23"/>
    <w:rsid w:val="004E5578"/>
    <w:rsid w:val="004F2441"/>
    <w:rsid w:val="00502B71"/>
    <w:rsid w:val="00511399"/>
    <w:rsid w:val="005217F5"/>
    <w:rsid w:val="0053343C"/>
    <w:rsid w:val="005358DD"/>
    <w:rsid w:val="005455B3"/>
    <w:rsid w:val="005555AC"/>
    <w:rsid w:val="00557232"/>
    <w:rsid w:val="00566086"/>
    <w:rsid w:val="005B096D"/>
    <w:rsid w:val="0060116C"/>
    <w:rsid w:val="00625B65"/>
    <w:rsid w:val="006379E8"/>
    <w:rsid w:val="00665FFD"/>
    <w:rsid w:val="00694BD6"/>
    <w:rsid w:val="006B10EA"/>
    <w:rsid w:val="006B49B9"/>
    <w:rsid w:val="006B5895"/>
    <w:rsid w:val="006B72B9"/>
    <w:rsid w:val="006B7968"/>
    <w:rsid w:val="006D606D"/>
    <w:rsid w:val="006F1E7D"/>
    <w:rsid w:val="006F5CD9"/>
    <w:rsid w:val="006F6C8E"/>
    <w:rsid w:val="00700082"/>
    <w:rsid w:val="0070775E"/>
    <w:rsid w:val="00720056"/>
    <w:rsid w:val="00734626"/>
    <w:rsid w:val="007415F1"/>
    <w:rsid w:val="00766488"/>
    <w:rsid w:val="00775116"/>
    <w:rsid w:val="00792B01"/>
    <w:rsid w:val="007A1825"/>
    <w:rsid w:val="007A7643"/>
    <w:rsid w:val="007C7BFC"/>
    <w:rsid w:val="007E5973"/>
    <w:rsid w:val="007F4438"/>
    <w:rsid w:val="008375A9"/>
    <w:rsid w:val="00842BE8"/>
    <w:rsid w:val="00851237"/>
    <w:rsid w:val="00881A9E"/>
    <w:rsid w:val="008B2DA5"/>
    <w:rsid w:val="008D78CB"/>
    <w:rsid w:val="008E4154"/>
    <w:rsid w:val="009000C6"/>
    <w:rsid w:val="0091005E"/>
    <w:rsid w:val="00927E86"/>
    <w:rsid w:val="00955BF7"/>
    <w:rsid w:val="00956E59"/>
    <w:rsid w:val="00963CF1"/>
    <w:rsid w:val="00974D6B"/>
    <w:rsid w:val="00976263"/>
    <w:rsid w:val="00993AF9"/>
    <w:rsid w:val="009B0AF9"/>
    <w:rsid w:val="009F41D1"/>
    <w:rsid w:val="00A17D8B"/>
    <w:rsid w:val="00A32F8B"/>
    <w:rsid w:val="00A7657A"/>
    <w:rsid w:val="00A81512"/>
    <w:rsid w:val="00A832DB"/>
    <w:rsid w:val="00A86F44"/>
    <w:rsid w:val="00A95C7A"/>
    <w:rsid w:val="00AD379D"/>
    <w:rsid w:val="00AE12B2"/>
    <w:rsid w:val="00AE3441"/>
    <w:rsid w:val="00AE4E30"/>
    <w:rsid w:val="00AF0925"/>
    <w:rsid w:val="00AF785A"/>
    <w:rsid w:val="00B030B8"/>
    <w:rsid w:val="00B05969"/>
    <w:rsid w:val="00B40597"/>
    <w:rsid w:val="00B41B47"/>
    <w:rsid w:val="00B5357B"/>
    <w:rsid w:val="00B57F6B"/>
    <w:rsid w:val="00B71096"/>
    <w:rsid w:val="00BA3CC6"/>
    <w:rsid w:val="00BC084B"/>
    <w:rsid w:val="00BC2FF1"/>
    <w:rsid w:val="00BF34D0"/>
    <w:rsid w:val="00BF6B0F"/>
    <w:rsid w:val="00C01441"/>
    <w:rsid w:val="00C0659A"/>
    <w:rsid w:val="00C32DA9"/>
    <w:rsid w:val="00C6253E"/>
    <w:rsid w:val="00C975D8"/>
    <w:rsid w:val="00CB2AB4"/>
    <w:rsid w:val="00CB7B13"/>
    <w:rsid w:val="00CC3EE5"/>
    <w:rsid w:val="00CF2BD6"/>
    <w:rsid w:val="00D036FB"/>
    <w:rsid w:val="00D249ED"/>
    <w:rsid w:val="00D31EEE"/>
    <w:rsid w:val="00D604EC"/>
    <w:rsid w:val="00D7100E"/>
    <w:rsid w:val="00D90A00"/>
    <w:rsid w:val="00D910B3"/>
    <w:rsid w:val="00DD329B"/>
    <w:rsid w:val="00DD791A"/>
    <w:rsid w:val="00DF2536"/>
    <w:rsid w:val="00E102A7"/>
    <w:rsid w:val="00E22809"/>
    <w:rsid w:val="00E25511"/>
    <w:rsid w:val="00E2650C"/>
    <w:rsid w:val="00E65709"/>
    <w:rsid w:val="00E6766A"/>
    <w:rsid w:val="00E720B1"/>
    <w:rsid w:val="00E91DE3"/>
    <w:rsid w:val="00EF51B0"/>
    <w:rsid w:val="00EF6DF4"/>
    <w:rsid w:val="00F03274"/>
    <w:rsid w:val="00F22ACF"/>
    <w:rsid w:val="00F234B3"/>
    <w:rsid w:val="00F37CE4"/>
    <w:rsid w:val="00F647BB"/>
    <w:rsid w:val="00F72B89"/>
    <w:rsid w:val="00FA544A"/>
    <w:rsid w:val="00FA5CF0"/>
    <w:rsid w:val="00FB6450"/>
    <w:rsid w:val="00FE2164"/>
    <w:rsid w:val="1DF37578"/>
    <w:rsid w:val="2BBDC88B"/>
    <w:rsid w:val="2FDF22F1"/>
    <w:rsid w:val="36EFFEB1"/>
    <w:rsid w:val="4BF700D3"/>
    <w:rsid w:val="5FEC1AC8"/>
    <w:rsid w:val="7B993773"/>
    <w:rsid w:val="7FB7274D"/>
    <w:rsid w:val="7FDFB6C0"/>
    <w:rsid w:val="8FB937DD"/>
    <w:rsid w:val="A3FA2110"/>
    <w:rsid w:val="B1FF2AB0"/>
    <w:rsid w:val="BCDD157C"/>
    <w:rsid w:val="D6DD7996"/>
    <w:rsid w:val="DFEB7A37"/>
    <w:rsid w:val="F8FFC34C"/>
    <w:rsid w:val="FB7F58DC"/>
    <w:rsid w:val="FEDA79CB"/>
    <w:rsid w:val="FFFB52AB"/>
    <w:rsid w:val="FFFEB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9"/>
    <w:pPr>
      <w:keepNext/>
      <w:keepLines/>
      <w:spacing w:line="240" w:lineRule="auto"/>
      <w:ind w:firstLine="200"/>
      <w:outlineLvl w:val="3"/>
    </w:pPr>
    <w:rPr>
      <w:rFonts w:cstheme="majorBidi"/>
      <w:bCs/>
      <w:szCs w:val="2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tabs>
        <w:tab w:val="center" w:pos="4153"/>
        <w:tab w:val="right" w:pos="8306"/>
      </w:tabs>
      <w:snapToGrid w:val="0"/>
      <w:jc w:val="center"/>
    </w:pPr>
    <w:rPr>
      <w:sz w:val="18"/>
      <w:szCs w:val="18"/>
    </w:rPr>
  </w:style>
  <w:style w:type="paragraph" w:styleId="5">
    <w:name w:val="footnote text"/>
    <w:basedOn w:val="1"/>
    <w:link w:val="11"/>
    <w:unhideWhenUsed/>
    <w:qFormat/>
    <w:uiPriority w:val="99"/>
    <w:pPr>
      <w:snapToGrid w:val="0"/>
      <w:jc w:val="left"/>
    </w:pPr>
    <w:rPr>
      <w:sz w:val="18"/>
      <w:szCs w:val="18"/>
    </w:rPr>
  </w:style>
  <w:style w:type="character" w:styleId="8">
    <w:name w:val="Hyperlink"/>
    <w:basedOn w:val="7"/>
    <w:unhideWhenUsed/>
    <w:uiPriority w:val="99"/>
    <w:rPr>
      <w:color w:val="0563C1" w:themeColor="hyperlink"/>
      <w:u w:val="single"/>
      <w14:textFill>
        <w14:solidFill>
          <w14:schemeClr w14:val="hlink"/>
        </w14:solidFill>
      </w14:textFill>
    </w:rPr>
  </w:style>
  <w:style w:type="character" w:styleId="9">
    <w:name w:val="footnote reference"/>
    <w:basedOn w:val="7"/>
    <w:unhideWhenUsed/>
    <w:qFormat/>
    <w:uiPriority w:val="99"/>
    <w:rPr>
      <w:vertAlign w:val="superscript"/>
    </w:rPr>
  </w:style>
  <w:style w:type="paragraph" w:styleId="10">
    <w:name w:val="List Paragraph"/>
    <w:basedOn w:val="1"/>
    <w:qFormat/>
    <w:uiPriority w:val="34"/>
    <w:pPr>
      <w:ind w:firstLine="420" w:firstLineChars="200"/>
    </w:pPr>
  </w:style>
  <w:style w:type="character" w:customStyle="1" w:styleId="11">
    <w:name w:val="脚注文本 字符"/>
    <w:basedOn w:val="7"/>
    <w:link w:val="5"/>
    <w:qFormat/>
    <w:uiPriority w:val="99"/>
    <w:rPr>
      <w:sz w:val="18"/>
      <w:szCs w:val="18"/>
    </w:rPr>
  </w:style>
  <w:style w:type="character" w:customStyle="1" w:styleId="12">
    <w:name w:val="Unresolved Mention"/>
    <w:basedOn w:val="7"/>
    <w:semiHidden/>
    <w:unhideWhenUsed/>
    <w:uiPriority w:val="99"/>
    <w:rPr>
      <w:color w:val="605E5C"/>
      <w:shd w:val="clear" w:color="auto" w:fill="E1DFDD"/>
    </w:rPr>
  </w:style>
  <w:style w:type="character" w:customStyle="1" w:styleId="13">
    <w:name w:val="页眉 字符"/>
    <w:basedOn w:val="7"/>
    <w:link w:val="4"/>
    <w:uiPriority w:val="99"/>
    <w:rPr>
      <w:sz w:val="18"/>
      <w:szCs w:val="18"/>
    </w:rPr>
  </w:style>
  <w:style w:type="character" w:customStyle="1" w:styleId="14">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373</Words>
  <Characters>2129</Characters>
  <Lines>17</Lines>
  <Paragraphs>4</Paragraphs>
  <TotalTime>20</TotalTime>
  <ScaleCrop>false</ScaleCrop>
  <LinksUpToDate>false</LinksUpToDate>
  <CharactersWithSpaces>2498</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2024-09-26T23:18:00Z</dcterms:created>
  <dc:creator>孟鑫 刘</dc:creator>
  <cp:lastModifiedBy>哑铃</cp:lastModifiedBy>
  <dcterms:modified xsi:type="dcterms:W3CDTF">2025-09-10T09:27:24Z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A6AB2A3E632376D5983596680E445C3C_43</vt:lpwstr>
  </property>
</Properties>
</file>