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468" w:beforeLines="150" w:after="468" w:afterLines="150" w:line="360" w:lineRule="auto"/>
        <w:ind w:firstLine="643"/>
        <w:jc w:val="center"/>
        <w:rPr>
          <w:rFonts w:ascii="仿宋" w:hAnsi="仿宋" w:eastAsia="仿宋" w:cs="黑体"/>
          <w:b/>
          <w:bCs/>
          <w:sz w:val="32"/>
          <w:szCs w:val="32"/>
        </w:rPr>
      </w:pPr>
      <w:r>
        <w:rPr>
          <w:rFonts w:hint="eastAsia" w:ascii="仿宋" w:hAnsi="仿宋" w:eastAsia="仿宋" w:cs="黑体"/>
          <w:b/>
          <w:bCs/>
          <w:sz w:val="32"/>
          <w:szCs w:val="32"/>
        </w:rPr>
        <w:t>“稳就业”压力下的企业投资与创新创业</w:t>
      </w:r>
    </w:p>
    <w:p>
      <w:pPr>
        <w:adjustRightInd w:val="0"/>
        <w:snapToGrid w:val="0"/>
        <w:spacing w:before="312" w:beforeLines="100" w:after="312" w:afterLines="100" w:line="360" w:lineRule="auto"/>
        <w:ind w:firstLine="560"/>
        <w:jc w:val="center"/>
        <w:rPr>
          <w:rFonts w:ascii="楷体" w:hAnsi="楷体" w:eastAsia="楷体" w:cs="黑体"/>
          <w:kern w:val="2"/>
          <w:sz w:val="28"/>
          <w:szCs w:val="30"/>
        </w:rPr>
      </w:pPr>
      <w:r>
        <w:rPr>
          <w:rFonts w:hint="eastAsia" w:ascii="楷体" w:hAnsi="楷体" w:eastAsia="楷体" w:cs="黑体"/>
          <w:kern w:val="2"/>
          <w:sz w:val="28"/>
          <w:szCs w:val="30"/>
        </w:rPr>
        <w:t>解咪</w:t>
      </w:r>
      <w:r>
        <w:rPr>
          <w:rFonts w:ascii="楷体" w:hAnsi="楷体" w:eastAsia="楷体" w:cs="黑体"/>
          <w:kern w:val="2"/>
          <w:sz w:val="28"/>
          <w:szCs w:val="30"/>
        </w:rPr>
        <w:t xml:space="preserve">  </w:t>
      </w:r>
      <w:r>
        <w:rPr>
          <w:rFonts w:hint="eastAsia" w:ascii="楷体" w:hAnsi="楷体" w:eastAsia="楷体" w:cs="黑体"/>
          <w:kern w:val="2"/>
          <w:sz w:val="28"/>
          <w:szCs w:val="30"/>
        </w:rPr>
        <w:t>申广军</w:t>
      </w:r>
      <w:r>
        <w:rPr>
          <w:rFonts w:ascii="楷体" w:hAnsi="楷体" w:eastAsia="楷体" w:cs="黑体"/>
          <w:kern w:val="2"/>
          <w:sz w:val="28"/>
          <w:szCs w:val="30"/>
        </w:rPr>
        <w:t xml:space="preserve">  </w:t>
      </w:r>
      <w:r>
        <w:rPr>
          <w:rFonts w:hint="eastAsia" w:ascii="楷体" w:hAnsi="楷体" w:eastAsia="楷体" w:cs="黑体"/>
          <w:kern w:val="2"/>
          <w:sz w:val="28"/>
          <w:szCs w:val="30"/>
        </w:rPr>
        <w:t>钟宁桦</w:t>
      </w:r>
    </w:p>
    <w:sdt>
      <w:sdtPr>
        <w:rPr>
          <w:rFonts w:ascii="Times New Roman" w:hAnsi="Times New Roman" w:eastAsia="宋体" w:cs="Times New Roman"/>
          <w:color w:val="auto"/>
          <w:sz w:val="20"/>
          <w:szCs w:val="20"/>
          <w:lang w:val="zh-CN"/>
        </w:rPr>
        <w:id w:val="611021527"/>
        <w:docPartObj>
          <w:docPartGallery w:val="Table of Contents"/>
          <w:docPartUnique/>
        </w:docPartObj>
      </w:sdtPr>
      <w:sdtEndPr>
        <w:rPr>
          <w:rFonts w:ascii="Times New Roman" w:hAnsi="Times New Roman" w:eastAsia="宋体" w:cs="Times New Roman"/>
          <w:b/>
          <w:bCs/>
          <w:color w:val="auto"/>
          <w:sz w:val="20"/>
          <w:szCs w:val="20"/>
          <w:lang w:val="zh-CN"/>
        </w:rPr>
      </w:sdtEndPr>
      <w:sdtContent>
        <w:p>
          <w:pPr>
            <w:pStyle w:val="20"/>
            <w:jc w:val="center"/>
            <w:rPr>
              <w:rFonts w:ascii="仿宋" w:hAnsi="仿宋" w:eastAsia="仿宋"/>
              <w:b/>
              <w:bCs/>
              <w:color w:val="auto"/>
              <w:sz w:val="28"/>
              <w:szCs w:val="28"/>
            </w:rPr>
          </w:pPr>
          <w:bookmarkStart w:id="0" w:name="_Toc160308257"/>
          <w:bookmarkStart w:id="1" w:name="_Toc164951747"/>
          <w:r>
            <w:rPr>
              <w:rFonts w:ascii="仿宋" w:hAnsi="仿宋" w:eastAsia="仿宋"/>
              <w:b/>
              <w:bCs/>
              <w:color w:val="auto"/>
              <w:sz w:val="28"/>
              <w:szCs w:val="28"/>
              <w:lang w:val="zh-CN"/>
            </w:rPr>
            <w:t>目录</w:t>
          </w:r>
        </w:p>
        <w:p>
          <w:pPr>
            <w:pStyle w:val="6"/>
            <w:tabs>
              <w:tab w:val="right" w:leader="dot" w:pos="8302"/>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"_Toc164957358" </w:instrText>
          </w:r>
          <w:r>
            <w:rPr>
              <w:rFonts w:hint="eastAsia" w:ascii="仿宋" w:hAnsi="仿宋" w:eastAsia="仿宋" w:cs="仿宋"/>
              <w:sz w:val="24"/>
              <w:szCs w:val="24"/>
            </w:rPr>
            <w:fldChar w:fldCharType="separate"/>
          </w:r>
          <w:r>
            <w:rPr>
              <w:rStyle w:val="12"/>
              <w:rFonts w:hint="eastAsia" w:ascii="仿宋" w:hAnsi="仿宋" w:eastAsia="仿宋" w:cs="仿宋"/>
              <w:sz w:val="24"/>
              <w:szCs w:val="24"/>
            </w:rPr>
            <w:t>附录I  主要变量的定义与统计描述结果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_Toc164957358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tabs>
              <w:tab w:val="right" w:leader="dot" w:pos="8302"/>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"_Toc164957359" </w:instrText>
          </w:r>
          <w:r>
            <w:rPr>
              <w:rFonts w:hint="eastAsia" w:ascii="仿宋" w:hAnsi="仿宋" w:eastAsia="仿宋" w:cs="仿宋"/>
              <w:sz w:val="24"/>
              <w:szCs w:val="24"/>
            </w:rPr>
            <w:fldChar w:fldCharType="separate"/>
          </w:r>
          <w:r>
            <w:rPr>
              <w:rStyle w:val="12"/>
              <w:rFonts w:hint="eastAsia" w:ascii="仿宋" w:hAnsi="仿宋" w:eastAsia="仿宋" w:cs="仿宋"/>
              <w:sz w:val="24"/>
              <w:szCs w:val="24"/>
            </w:rPr>
            <w:t>附录II  稳就业压力与创业活力</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_Toc164957359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tabs>
              <w:tab w:val="right" w:leader="dot" w:pos="8302"/>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"_Toc164957360" </w:instrText>
          </w:r>
          <w:r>
            <w:rPr>
              <w:rFonts w:hint="eastAsia" w:ascii="仿宋" w:hAnsi="仿宋" w:eastAsia="仿宋" w:cs="仿宋"/>
              <w:sz w:val="24"/>
              <w:szCs w:val="24"/>
            </w:rPr>
            <w:fldChar w:fldCharType="separate"/>
          </w:r>
          <w:r>
            <w:rPr>
              <w:rStyle w:val="12"/>
              <w:rFonts w:hint="eastAsia" w:ascii="仿宋" w:hAnsi="仿宋" w:eastAsia="仿宋" w:cs="仿宋"/>
              <w:sz w:val="24"/>
              <w:szCs w:val="24"/>
            </w:rPr>
            <w:t>附录III  稳健性检验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_Toc164957360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r>
            <w:rPr>
              <w:rFonts w:hint="eastAsia" w:ascii="仿宋" w:hAnsi="仿宋" w:eastAsia="仿宋" w:cs="仿宋"/>
              <w:b/>
              <w:bCs/>
              <w:sz w:val="24"/>
              <w:szCs w:val="24"/>
              <w:lang w:val="zh-CN"/>
            </w:rPr>
            <w:fldChar w:fldCharType="end"/>
          </w:r>
        </w:p>
      </w:sdtContent>
    </w:sdt>
    <w:p>
      <w:pPr>
        <w:widowControl/>
        <w:ind w:firstLine="562" w:firstLineChars="200"/>
        <w:jc w:val="left"/>
        <w:rPr>
          <w:rFonts w:eastAsia="仿宋"/>
          <w:sz w:val="15"/>
          <w:szCs w:val="15"/>
        </w:rPr>
      </w:pPr>
      <w:r>
        <w:rPr>
          <w:rFonts w:eastAsia="楷体"/>
          <w:b/>
          <w:kern w:val="2"/>
          <w:sz w:val="28"/>
          <w:szCs w:val="28"/>
        </w:rPr>
        <w:br w:type="page"/>
      </w:r>
    </w:p>
    <w:p>
      <w:pPr>
        <w:widowControl/>
        <w:jc w:val="left"/>
        <w:rPr>
          <w:rFonts w:eastAsia="仿宋"/>
          <w:sz w:val="15"/>
          <w:szCs w:val="15"/>
        </w:rPr>
        <w:sectPr>
          <w:headerReference r:id="rId3" w:type="default"/>
          <w:footerReference r:id="rId4" w:type="default"/>
          <w:footnotePr>
            <w:numFmt w:val="decimalEnclosedCircleChinese"/>
          </w:footnotePr>
          <w:pgSz w:w="11906" w:h="16838"/>
          <w:pgMar w:top="1440" w:right="1797" w:bottom="1440" w:left="1797" w:header="851" w:footer="992" w:gutter="0"/>
          <w:pgNumType w:start="1"/>
          <w:cols w:space="720" w:num="1"/>
          <w:docGrid w:type="lines" w:linePitch="312" w:charSpace="0"/>
        </w:sectPr>
      </w:pPr>
    </w:p>
    <w:p>
      <w:pPr>
        <w:pStyle w:val="2"/>
        <w:rPr>
          <w:rFonts w:hint="eastAsia" w:ascii="楷体" w:hAnsi="楷体" w:eastAsia="楷体" w:cs="楷体"/>
          <w:b w:val="0"/>
          <w:kern w:val="2"/>
          <w:sz w:val="28"/>
          <w:szCs w:val="28"/>
        </w:rPr>
      </w:pPr>
      <w:bookmarkStart w:id="2" w:name="_Toc164957358"/>
      <w:r>
        <w:rPr>
          <w:rFonts w:hint="eastAsia" w:ascii="楷体" w:hAnsi="楷体" w:eastAsia="楷体" w:cs="楷体"/>
          <w:b w:val="0"/>
          <w:kern w:val="2"/>
          <w:sz w:val="28"/>
          <w:szCs w:val="28"/>
        </w:rPr>
        <w:t xml:space="preserve">附录I </w:t>
      </w:r>
      <w:bookmarkEnd w:id="0"/>
      <w:r>
        <w:rPr>
          <w:rFonts w:hint="eastAsia" w:ascii="楷体" w:hAnsi="楷体" w:eastAsia="楷体" w:cs="楷体"/>
          <w:b w:val="0"/>
          <w:kern w:val="2"/>
          <w:sz w:val="28"/>
          <w:szCs w:val="28"/>
        </w:rPr>
        <w:t xml:space="preserve"> 主要变量的定义与统计描述结果</w:t>
      </w:r>
      <w:bookmarkEnd w:id="1"/>
      <w:bookmarkEnd w:id="2"/>
    </w:p>
    <w:p>
      <w:pPr>
        <w:pStyle w:val="17"/>
        <w:spacing w:before="312" w:beforeLines="100" w:after="156"/>
        <w:ind w:firstLine="420"/>
        <w:rPr>
          <w:rFonts w:hint="eastAsia" w:ascii="宋体" w:hAnsi="宋体" w:eastAsia="宋体" w:cs="宋体"/>
          <w:b/>
          <w:bCs/>
          <w:sz w:val="20"/>
          <w:szCs w:val="22"/>
        </w:rPr>
      </w:pPr>
      <w:r>
        <w:rPr>
          <w:rFonts w:hint="eastAsia" w:ascii="宋体" w:hAnsi="宋体" w:eastAsia="宋体" w:cs="宋体"/>
          <w:b/>
          <w:bCs/>
          <w:sz w:val="20"/>
          <w:szCs w:val="22"/>
        </w:rPr>
        <w:t>表I1  主要变量定义与计算方法</w:t>
      </w:r>
    </w:p>
    <w:tbl>
      <w:tblPr>
        <w:tblStyle w:val="9"/>
        <w:tblW w:w="8442" w:type="dxa"/>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116"/>
        <w:gridCol w:w="2077"/>
        <w:gridCol w:w="1926"/>
        <w:gridCol w:w="3323"/>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3193" w:type="dxa"/>
            <w:gridSpan w:val="2"/>
            <w:tcBorders>
              <w:top w:val="single" w:color="auto" w:sz="8" w:space="0"/>
              <w:bottom w:val="single" w:color="auto" w:sz="4" w:space="0"/>
            </w:tcBorders>
            <w:vAlign w:val="center"/>
          </w:tcPr>
          <w:p>
            <w:pPr>
              <w:adjustRightInd w:val="0"/>
              <w:snapToGrid w:val="0"/>
              <w:spacing w:line="220" w:lineRule="exact"/>
              <w:jc w:val="center"/>
              <w:rPr>
                <w:rFonts w:eastAsia="仿宋"/>
                <w:sz w:val="18"/>
                <w:szCs w:val="18"/>
              </w:rPr>
            </w:pPr>
            <w:r>
              <w:rPr>
                <w:rFonts w:eastAsia="仿宋"/>
                <w:sz w:val="18"/>
                <w:szCs w:val="18"/>
              </w:rPr>
              <w:t>变量名称</w:t>
            </w:r>
          </w:p>
        </w:tc>
        <w:tc>
          <w:tcPr>
            <w:tcW w:w="1926" w:type="dxa"/>
            <w:tcBorders>
              <w:top w:val="single" w:color="auto" w:sz="8" w:space="0"/>
              <w:bottom w:val="single" w:color="auto" w:sz="4" w:space="0"/>
            </w:tcBorders>
            <w:vAlign w:val="center"/>
          </w:tcPr>
          <w:p>
            <w:pPr>
              <w:adjustRightInd w:val="0"/>
              <w:snapToGrid w:val="0"/>
              <w:spacing w:line="220" w:lineRule="exact"/>
              <w:jc w:val="center"/>
              <w:rPr>
                <w:rFonts w:eastAsia="仿宋"/>
                <w:sz w:val="18"/>
                <w:szCs w:val="18"/>
              </w:rPr>
            </w:pPr>
            <w:r>
              <w:rPr>
                <w:rFonts w:eastAsia="仿宋"/>
                <w:sz w:val="18"/>
                <w:szCs w:val="18"/>
              </w:rPr>
              <w:t>变量符号</w:t>
            </w:r>
          </w:p>
        </w:tc>
        <w:tc>
          <w:tcPr>
            <w:tcW w:w="3323" w:type="dxa"/>
            <w:tcBorders>
              <w:top w:val="single" w:color="auto" w:sz="8" w:space="0"/>
              <w:bottom w:val="single" w:color="auto" w:sz="4" w:space="0"/>
            </w:tcBorders>
            <w:vAlign w:val="center"/>
          </w:tcPr>
          <w:p>
            <w:pPr>
              <w:adjustRightInd w:val="0"/>
              <w:snapToGrid w:val="0"/>
              <w:spacing w:line="220" w:lineRule="exact"/>
              <w:jc w:val="center"/>
              <w:rPr>
                <w:rFonts w:eastAsia="仿宋"/>
                <w:sz w:val="18"/>
                <w:szCs w:val="18"/>
              </w:rPr>
            </w:pPr>
            <w:r>
              <w:rPr>
                <w:rFonts w:eastAsia="仿宋"/>
                <w:sz w:val="18"/>
                <w:szCs w:val="18"/>
              </w:rPr>
              <w:t>变量定义</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restart"/>
            <w:tcBorders>
              <w:top w:val="single" w:color="auto" w:sz="4" w:space="0"/>
            </w:tcBorders>
            <w:vAlign w:val="center"/>
          </w:tcPr>
          <w:p>
            <w:pPr>
              <w:adjustRightInd w:val="0"/>
              <w:snapToGrid w:val="0"/>
              <w:spacing w:line="220" w:lineRule="exact"/>
              <w:rPr>
                <w:rFonts w:eastAsia="仿宋"/>
                <w:sz w:val="18"/>
                <w:szCs w:val="18"/>
              </w:rPr>
            </w:pPr>
            <w:r>
              <w:rPr>
                <w:rFonts w:eastAsia="仿宋"/>
                <w:sz w:val="18"/>
                <w:szCs w:val="18"/>
              </w:rPr>
              <w:t>解释变量</w:t>
            </w:r>
          </w:p>
        </w:tc>
        <w:tc>
          <w:tcPr>
            <w:tcW w:w="2077" w:type="dxa"/>
            <w:vMerge w:val="restart"/>
            <w:tcBorders>
              <w:top w:val="single" w:color="auto" w:sz="4" w:space="0"/>
            </w:tcBorders>
            <w:vAlign w:val="center"/>
          </w:tcPr>
          <w:p>
            <w:pPr>
              <w:adjustRightInd w:val="0"/>
              <w:snapToGrid w:val="0"/>
              <w:spacing w:line="220" w:lineRule="exact"/>
              <w:rPr>
                <w:rFonts w:eastAsia="仿宋"/>
                <w:sz w:val="18"/>
                <w:szCs w:val="18"/>
              </w:rPr>
            </w:pPr>
            <w:r>
              <w:rPr>
                <w:rFonts w:eastAsia="仿宋"/>
                <w:sz w:val="18"/>
                <w:szCs w:val="18"/>
              </w:rPr>
              <w:t>稳就业压力</w:t>
            </w:r>
          </w:p>
        </w:tc>
        <w:tc>
          <w:tcPr>
            <w:tcW w:w="1926" w:type="dxa"/>
            <w:tcBorders>
              <w:top w:val="single" w:color="auto" w:sz="4" w:space="0"/>
              <w:bottom w:val="nil"/>
            </w:tcBorders>
            <w:vAlign w:val="center"/>
          </w:tcPr>
          <w:p>
            <w:pPr>
              <w:adjustRightInd w:val="0"/>
              <w:snapToGrid w:val="0"/>
              <w:spacing w:line="220" w:lineRule="exact"/>
              <w:jc w:val="left"/>
              <w:rPr>
                <w:rFonts w:eastAsia="仿宋"/>
                <w:i/>
                <w:sz w:val="18"/>
                <w:szCs w:val="18"/>
              </w:rPr>
            </w:pPr>
            <w:r>
              <w:rPr>
                <w:rFonts w:eastAsia="仿宋"/>
                <w:i/>
                <w:sz w:val="18"/>
                <w:szCs w:val="18"/>
              </w:rPr>
              <w:t>Pressure</w:t>
            </w:r>
          </w:p>
        </w:tc>
        <w:tc>
          <w:tcPr>
            <w:tcW w:w="3323" w:type="dxa"/>
            <w:tcBorders>
              <w:top w:val="single" w:color="auto" w:sz="4" w:space="0"/>
              <w:bottom w:val="nil"/>
            </w:tcBorders>
            <w:vAlign w:val="center"/>
          </w:tcPr>
          <w:p>
            <w:pPr>
              <w:adjustRightInd w:val="0"/>
              <w:snapToGrid w:val="0"/>
              <w:spacing w:line="220" w:lineRule="exact"/>
              <w:rPr>
                <w:rFonts w:eastAsia="仿宋"/>
                <w:sz w:val="18"/>
                <w:szCs w:val="18"/>
              </w:rPr>
            </w:pPr>
            <w:r>
              <w:rPr>
                <w:rFonts w:eastAsia="仿宋"/>
                <w:sz w:val="18"/>
                <w:szCs w:val="18"/>
              </w:rPr>
              <w:t>对</w:t>
            </w:r>
            <w:r>
              <w:rPr>
                <w:rFonts w:hint="eastAsia" w:eastAsia="仿宋"/>
                <w:sz w:val="18"/>
                <w:szCs w:val="18"/>
              </w:rPr>
              <w:t>各</w:t>
            </w:r>
            <w:r>
              <w:rPr>
                <w:rFonts w:eastAsia="仿宋"/>
                <w:sz w:val="18"/>
                <w:szCs w:val="18"/>
              </w:rPr>
              <w:t>省每年的就业率从高到低进行排序，用其当年排名减去上年排名，得到该省当年就业率排名的变化</w:t>
            </w:r>
            <w:r>
              <w:rPr>
                <w:rFonts w:hint="eastAsia" w:eastAsia="仿宋"/>
                <w:sz w:val="18"/>
                <w:szCs w:val="18"/>
              </w:rPr>
              <w:t>，</w:t>
            </w:r>
            <w:r>
              <w:rPr>
                <w:rFonts w:eastAsia="仿宋"/>
                <w:sz w:val="18"/>
                <w:szCs w:val="18"/>
              </w:rPr>
              <w:t>若差额大于0</w:t>
            </w:r>
            <w:r>
              <w:rPr>
                <w:rFonts w:hint="eastAsia" w:eastAsia="仿宋"/>
                <w:sz w:val="18"/>
                <w:szCs w:val="18"/>
              </w:rPr>
              <w:t>（退步）</w:t>
            </w:r>
            <w:r>
              <w:rPr>
                <w:rFonts w:eastAsia="仿宋"/>
                <w:sz w:val="18"/>
                <w:szCs w:val="18"/>
              </w:rPr>
              <w:t>，取值为1</w:t>
            </w:r>
            <w:r>
              <w:rPr>
                <w:rFonts w:hint="eastAsia" w:eastAsia="仿宋"/>
                <w:sz w:val="18"/>
                <w:szCs w:val="18"/>
              </w:rPr>
              <w:t>；</w:t>
            </w:r>
            <w:r>
              <w:rPr>
                <w:rFonts w:eastAsia="仿宋"/>
                <w:sz w:val="18"/>
                <w:szCs w:val="18"/>
              </w:rPr>
              <w:t>若差额等于0</w:t>
            </w:r>
            <w:r>
              <w:rPr>
                <w:rFonts w:hint="eastAsia" w:eastAsia="仿宋"/>
                <w:sz w:val="18"/>
                <w:szCs w:val="18"/>
              </w:rPr>
              <w:t>（不变）</w:t>
            </w:r>
            <w:r>
              <w:rPr>
                <w:rFonts w:eastAsia="仿宋"/>
                <w:sz w:val="18"/>
                <w:szCs w:val="18"/>
              </w:rPr>
              <w:t>，取值为0</w:t>
            </w:r>
            <w:r>
              <w:rPr>
                <w:rFonts w:hint="eastAsia" w:eastAsia="仿宋"/>
                <w:sz w:val="18"/>
                <w:szCs w:val="18"/>
              </w:rPr>
              <w:t>；</w:t>
            </w:r>
            <w:r>
              <w:rPr>
                <w:rFonts w:eastAsia="仿宋"/>
                <w:sz w:val="18"/>
                <w:szCs w:val="18"/>
              </w:rPr>
              <w:t>若差额小于0</w:t>
            </w:r>
            <w:r>
              <w:rPr>
                <w:rFonts w:hint="eastAsia" w:eastAsia="仿宋"/>
                <w:sz w:val="18"/>
                <w:szCs w:val="18"/>
              </w:rPr>
              <w:t>（进步）</w:t>
            </w:r>
            <w:r>
              <w:rPr>
                <w:rFonts w:eastAsia="仿宋"/>
                <w:sz w:val="18"/>
                <w:szCs w:val="18"/>
              </w:rPr>
              <w:t>，取值为-1</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vMerge w:val="continue"/>
            <w:vAlign w:val="center"/>
          </w:tcPr>
          <w:p>
            <w:pPr>
              <w:adjustRightInd w:val="0"/>
              <w:snapToGrid w:val="0"/>
              <w:spacing w:line="220" w:lineRule="exact"/>
              <w:rPr>
                <w:rFonts w:eastAsia="仿宋"/>
                <w:sz w:val="18"/>
                <w:szCs w:val="18"/>
              </w:rPr>
            </w:pP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eastAsia="仿宋"/>
                <w:i/>
                <w:sz w:val="18"/>
                <w:szCs w:val="18"/>
              </w:rPr>
              <w:t>Pressure2</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各省当年的就业率排名退步取值为1，进步或不变均取值为0</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vMerge w:val="continue"/>
            <w:vAlign w:val="center"/>
          </w:tcPr>
          <w:p>
            <w:pPr>
              <w:adjustRightInd w:val="0"/>
              <w:snapToGrid w:val="0"/>
              <w:spacing w:line="220" w:lineRule="exact"/>
              <w:rPr>
                <w:rFonts w:eastAsia="仿宋"/>
                <w:sz w:val="18"/>
                <w:szCs w:val="18"/>
              </w:rPr>
            </w:pP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eastAsia="仿宋"/>
                <w:i/>
                <w:sz w:val="18"/>
                <w:szCs w:val="18"/>
              </w:rPr>
              <w:t>Pressure</w:t>
            </w:r>
            <w:r>
              <w:rPr>
                <w:rFonts w:hint="eastAsia" w:eastAsia="仿宋"/>
                <w:i/>
                <w:sz w:val="18"/>
                <w:szCs w:val="18"/>
              </w:rPr>
              <w:t>3</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使用K值最临近空间法，选取某省最临近4个省份的就业率进行比较，计算组内各省的就业率排名，若该省该当年就业率排名退步取值为1，不变为0，进步为-1</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vMerge w:val="continue"/>
            <w:vAlign w:val="center"/>
          </w:tcPr>
          <w:p>
            <w:pPr>
              <w:adjustRightInd w:val="0"/>
              <w:snapToGrid w:val="0"/>
              <w:spacing w:line="220" w:lineRule="exact"/>
              <w:rPr>
                <w:rFonts w:eastAsia="仿宋"/>
                <w:sz w:val="18"/>
                <w:szCs w:val="18"/>
              </w:rPr>
            </w:pP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eastAsia="仿宋"/>
                <w:i/>
                <w:sz w:val="18"/>
                <w:szCs w:val="18"/>
              </w:rPr>
              <w:t>Pressure</w:t>
            </w:r>
            <w:r>
              <w:rPr>
                <w:rFonts w:hint="eastAsia" w:eastAsia="仿宋"/>
                <w:i/>
                <w:sz w:val="18"/>
                <w:szCs w:val="18"/>
              </w:rPr>
              <w:t>4</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各</w:t>
            </w:r>
            <w:r>
              <w:rPr>
                <w:rFonts w:eastAsia="仿宋"/>
                <w:sz w:val="18"/>
                <w:szCs w:val="18"/>
              </w:rPr>
              <w:t>省当年的</w:t>
            </w:r>
            <w:r>
              <w:rPr>
                <w:rFonts w:hint="eastAsia" w:eastAsia="仿宋"/>
                <w:sz w:val="18"/>
                <w:szCs w:val="18"/>
              </w:rPr>
              <w:t>就业率</w:t>
            </w:r>
            <w:r>
              <w:rPr>
                <w:rFonts w:eastAsia="仿宋"/>
                <w:sz w:val="18"/>
                <w:szCs w:val="18"/>
              </w:rPr>
              <w:t>排名减去上一年排名，得到差额的原值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vMerge w:val="continue"/>
            <w:vAlign w:val="center"/>
          </w:tcPr>
          <w:p>
            <w:pPr>
              <w:adjustRightInd w:val="0"/>
              <w:snapToGrid w:val="0"/>
              <w:spacing w:line="220" w:lineRule="exact"/>
              <w:rPr>
                <w:rFonts w:eastAsia="仿宋"/>
                <w:sz w:val="18"/>
                <w:szCs w:val="18"/>
              </w:rPr>
            </w:pPr>
          </w:p>
        </w:tc>
        <w:tc>
          <w:tcPr>
            <w:tcW w:w="1926" w:type="dxa"/>
            <w:tcBorders>
              <w:top w:val="nil"/>
              <w:bottom w:val="nil"/>
            </w:tcBorders>
            <w:vAlign w:val="center"/>
          </w:tcPr>
          <w:p>
            <w:pPr>
              <w:adjustRightInd w:val="0"/>
              <w:snapToGrid w:val="0"/>
              <w:spacing w:line="220" w:lineRule="exact"/>
              <w:jc w:val="left"/>
              <w:rPr>
                <w:i/>
                <w:iCs/>
                <w:sz w:val="18"/>
                <w:szCs w:val="18"/>
              </w:rPr>
            </w:pPr>
            <w:r>
              <w:rPr>
                <w:rFonts w:eastAsia="仿宋"/>
                <w:i/>
                <w:sz w:val="18"/>
                <w:szCs w:val="18"/>
              </w:rPr>
              <w:t>Pressure5</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基于各省反地理距离权重矩阵，结合样本期初（</w:t>
            </w:r>
            <w:r>
              <w:rPr>
                <w:rFonts w:eastAsia="仿宋"/>
                <w:sz w:val="18"/>
                <w:szCs w:val="18"/>
              </w:rPr>
              <w:t>2010年</w:t>
            </w:r>
            <w:r>
              <w:rPr>
                <w:rFonts w:hint="eastAsia" w:eastAsia="仿宋"/>
                <w:sz w:val="18"/>
                <w:szCs w:val="18"/>
              </w:rPr>
              <w:t>）</w:t>
            </w:r>
            <w:r>
              <w:rPr>
                <w:rFonts w:eastAsia="仿宋"/>
                <w:sz w:val="18"/>
                <w:szCs w:val="18"/>
              </w:rPr>
              <w:t>地区间人均GDP差额</w:t>
            </w:r>
            <w:r>
              <w:rPr>
                <w:rFonts w:hint="eastAsia" w:eastAsia="仿宋"/>
                <w:sz w:val="18"/>
                <w:szCs w:val="18"/>
              </w:rPr>
              <w:t>，得到经济距离权重矩阵，以此计算当年其他省份就业率的加权平均值，若该值高于该省的实际就业率，则</w:t>
            </w:r>
            <w:r>
              <w:rPr>
                <w:rFonts w:hint="eastAsia" w:eastAsia="仿宋"/>
                <w:iCs/>
                <w:sz w:val="18"/>
                <w:szCs w:val="18"/>
              </w:rPr>
              <w:t>取值</w:t>
            </w:r>
            <w:r>
              <w:rPr>
                <w:rFonts w:hint="eastAsia" w:eastAsia="仿宋"/>
                <w:sz w:val="18"/>
                <w:szCs w:val="18"/>
              </w:rPr>
              <w:t>为1，相等为0，更低为-</w:t>
            </w:r>
            <w:r>
              <w:rPr>
                <w:rFonts w:eastAsia="仿宋"/>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single" w:color="auto" w:sz="4" w:space="0"/>
              <w:bottom w:val="nil"/>
            </w:tcBorders>
            <w:vAlign w:val="center"/>
          </w:tcPr>
          <w:p>
            <w:pPr>
              <w:adjustRightInd w:val="0"/>
              <w:snapToGrid w:val="0"/>
              <w:spacing w:line="220" w:lineRule="exact"/>
              <w:rPr>
                <w:rFonts w:eastAsia="仿宋"/>
                <w:sz w:val="18"/>
                <w:szCs w:val="18"/>
              </w:rPr>
            </w:pPr>
            <w:r>
              <w:rPr>
                <w:rFonts w:hint="eastAsia" w:eastAsia="仿宋"/>
                <w:sz w:val="18"/>
                <w:szCs w:val="18"/>
              </w:rPr>
              <w:t>大型企业</w:t>
            </w:r>
          </w:p>
        </w:tc>
        <w:tc>
          <w:tcPr>
            <w:tcW w:w="1926" w:type="dxa"/>
            <w:tcBorders>
              <w:top w:val="single" w:color="auto" w:sz="4" w:space="0"/>
              <w:bottom w:val="nil"/>
            </w:tcBorders>
            <w:vAlign w:val="center"/>
          </w:tcPr>
          <w:p>
            <w:pPr>
              <w:adjustRightInd w:val="0"/>
              <w:snapToGrid w:val="0"/>
              <w:spacing w:line="220" w:lineRule="exact"/>
              <w:jc w:val="left"/>
              <w:rPr>
                <w:rFonts w:eastAsia="仿宋"/>
                <w:i/>
                <w:sz w:val="18"/>
                <w:szCs w:val="18"/>
              </w:rPr>
            </w:pPr>
            <w:r>
              <w:rPr>
                <w:i/>
                <w:iCs/>
                <w:sz w:val="18"/>
                <w:szCs w:val="18"/>
              </w:rPr>
              <w:t>Big</w:t>
            </w:r>
            <w:r>
              <w:rPr>
                <w:rFonts w:hint="eastAsia"/>
                <w:i/>
                <w:iCs/>
                <w:sz w:val="18"/>
                <w:szCs w:val="18"/>
              </w:rPr>
              <w:t>F</w:t>
            </w:r>
          </w:p>
        </w:tc>
        <w:tc>
          <w:tcPr>
            <w:tcW w:w="3323" w:type="dxa"/>
            <w:tcBorders>
              <w:top w:val="single" w:color="auto" w:sz="4" w:space="0"/>
              <w:bottom w:val="nil"/>
            </w:tcBorders>
            <w:vAlign w:val="center"/>
          </w:tcPr>
          <w:p>
            <w:pPr>
              <w:adjustRightInd w:val="0"/>
              <w:snapToGrid w:val="0"/>
              <w:spacing w:line="220" w:lineRule="exact"/>
              <w:rPr>
                <w:rFonts w:eastAsia="仿宋"/>
                <w:sz w:val="18"/>
                <w:szCs w:val="18"/>
              </w:rPr>
            </w:pPr>
            <w:r>
              <w:rPr>
                <w:rFonts w:hint="eastAsia" w:eastAsia="仿宋"/>
                <w:sz w:val="18"/>
                <w:szCs w:val="18"/>
              </w:rPr>
              <w:t>企业当年的资产规模位于前</w:t>
            </w:r>
            <w:r>
              <w:rPr>
                <w:rFonts w:eastAsia="仿宋"/>
                <w:sz w:val="18"/>
                <w:szCs w:val="18"/>
              </w:rPr>
              <w:t>50%</w:t>
            </w:r>
            <w:r>
              <w:rPr>
                <w:rFonts w:hint="eastAsia" w:eastAsia="仿宋"/>
                <w:sz w:val="18"/>
                <w:szCs w:val="18"/>
              </w:rPr>
              <w:t>取值为1，否则为0</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多员工企业</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hint="eastAsia"/>
                <w:i/>
                <w:iCs/>
                <w:sz w:val="18"/>
                <w:szCs w:val="18"/>
              </w:rPr>
              <w:t>LempF</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企业当年的员工人数位于前</w:t>
            </w:r>
            <w:r>
              <w:rPr>
                <w:rFonts w:eastAsia="仿宋"/>
                <w:sz w:val="18"/>
                <w:szCs w:val="18"/>
              </w:rPr>
              <w:t>50%</w:t>
            </w:r>
            <w:r>
              <w:rPr>
                <w:rFonts w:hint="eastAsia" w:eastAsia="仿宋"/>
                <w:sz w:val="18"/>
                <w:szCs w:val="18"/>
              </w:rPr>
              <w:t>取值为1，否则为0</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国有企业</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i/>
                <w:iCs/>
                <w:sz w:val="18"/>
                <w:szCs w:val="18"/>
              </w:rPr>
              <w:t>SOE</w:t>
            </w:r>
            <w:r>
              <w:rPr>
                <w:rFonts w:hint="eastAsia"/>
                <w:i/>
                <w:iCs/>
                <w:sz w:val="18"/>
                <w:szCs w:val="18"/>
              </w:rPr>
              <w:t>s</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当年为国有企业取值为1，否则为0</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低利润率企业</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i/>
                <w:iCs/>
                <w:sz w:val="18"/>
                <w:szCs w:val="18"/>
              </w:rPr>
              <w:t>Low</w:t>
            </w:r>
            <w:r>
              <w:rPr>
                <w:rFonts w:hint="eastAsia"/>
                <w:i/>
                <w:iCs/>
                <w:sz w:val="18"/>
                <w:szCs w:val="18"/>
              </w:rPr>
              <w:t>PF</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企业当年利润率（利润总额</w:t>
            </w:r>
            <w:r>
              <w:rPr>
                <w:rFonts w:eastAsia="仿宋"/>
                <w:sz w:val="18"/>
                <w:szCs w:val="18"/>
              </w:rPr>
              <w:t>/主营业务收入）位于</w:t>
            </w:r>
            <w:r>
              <w:rPr>
                <w:rFonts w:hint="eastAsia" w:eastAsia="仿宋"/>
                <w:sz w:val="18"/>
                <w:szCs w:val="18"/>
              </w:rPr>
              <w:t>后</w:t>
            </w:r>
            <w:r>
              <w:rPr>
                <w:rFonts w:eastAsia="仿宋"/>
                <w:sz w:val="18"/>
                <w:szCs w:val="18"/>
              </w:rPr>
              <w:t>50%</w:t>
            </w:r>
            <w:r>
              <w:rPr>
                <w:rFonts w:hint="eastAsia" w:eastAsia="仿宋"/>
                <w:sz w:val="18"/>
                <w:szCs w:val="18"/>
              </w:rPr>
              <w:t>取值为1，否则为0</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僵尸企业</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eastAsia="仿宋"/>
                <w:i/>
                <w:sz w:val="18"/>
                <w:szCs w:val="18"/>
              </w:rPr>
              <w:t>Z</w:t>
            </w:r>
            <w:r>
              <w:rPr>
                <w:rFonts w:hint="eastAsia" w:eastAsia="仿宋"/>
                <w:i/>
                <w:sz w:val="18"/>
                <w:szCs w:val="18"/>
              </w:rPr>
              <w:t>b_*</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企业是僵尸企业取值为1</w:t>
            </w:r>
            <w:r>
              <w:rPr>
                <w:rFonts w:hint="eastAsia" w:eastAsia="仿宋"/>
                <w:sz w:val="18"/>
                <w:szCs w:val="18"/>
              </w:rPr>
              <w:t>，否则为0，共有4个相关变量，识别方法见正文</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发达地区</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eastAsia="仿宋"/>
                <w:i/>
                <w:sz w:val="18"/>
                <w:szCs w:val="18"/>
              </w:rPr>
              <w:t>PGDP_high</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该省份当年的人均GDP位于前5</w:t>
            </w:r>
            <w:r>
              <w:rPr>
                <w:rFonts w:eastAsia="仿宋"/>
                <w:sz w:val="18"/>
                <w:szCs w:val="18"/>
              </w:rPr>
              <w:t>0</w:t>
            </w:r>
            <w:r>
              <w:rPr>
                <w:rFonts w:hint="eastAsia" w:eastAsia="仿宋"/>
                <w:sz w:val="18"/>
                <w:szCs w:val="18"/>
              </w:rPr>
              <w:t>%取值为1，否则为0</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所有工企的投资规模</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eastAsia="仿宋"/>
                <w:sz w:val="18"/>
                <w:szCs w:val="18"/>
              </w:rPr>
              <w:t>ln(</w:t>
            </w:r>
            <w:r>
              <w:rPr>
                <w:rFonts w:hint="eastAsia" w:eastAsia="仿宋"/>
                <w:i/>
                <w:iCs/>
                <w:sz w:val="18"/>
                <w:szCs w:val="18"/>
              </w:rPr>
              <w:t>invest</w:t>
            </w:r>
            <w:r>
              <w:rPr>
                <w:rFonts w:eastAsia="仿宋"/>
                <w:i/>
                <w:iCs/>
                <w:sz w:val="18"/>
                <w:szCs w:val="18"/>
              </w:rPr>
              <w:t>_all</w:t>
            </w:r>
            <w:r>
              <w:rPr>
                <w:rFonts w:eastAsia="仿宋"/>
                <w:sz w:val="18"/>
                <w:szCs w:val="18"/>
              </w:rPr>
              <w:t>)</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各省所有规模以上工业企业的固定资产合计的对数值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国有工企的投资规模</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eastAsia="仿宋"/>
                <w:sz w:val="18"/>
                <w:szCs w:val="18"/>
              </w:rPr>
              <w:t>ln(</w:t>
            </w:r>
            <w:r>
              <w:rPr>
                <w:rFonts w:hint="eastAsia" w:eastAsia="仿宋"/>
                <w:i/>
                <w:iCs/>
                <w:sz w:val="18"/>
                <w:szCs w:val="18"/>
              </w:rPr>
              <w:t>invest</w:t>
            </w:r>
            <w:r>
              <w:rPr>
                <w:rFonts w:eastAsia="仿宋"/>
                <w:i/>
                <w:iCs/>
                <w:sz w:val="18"/>
                <w:szCs w:val="18"/>
              </w:rPr>
              <w:t>_SOEs</w:t>
            </w:r>
            <w:r>
              <w:rPr>
                <w:rFonts w:eastAsia="仿宋"/>
                <w:sz w:val="18"/>
                <w:szCs w:val="18"/>
              </w:rPr>
              <w:t>)</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各省国有规模以上工业企业的固定资产合计的对数值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tcBorders>
              <w:bottom w:val="single" w:color="auto" w:sz="4" w:space="0"/>
            </w:tcBorders>
            <w:vAlign w:val="center"/>
          </w:tcPr>
          <w:p>
            <w:pPr>
              <w:adjustRightInd w:val="0"/>
              <w:snapToGrid w:val="0"/>
              <w:spacing w:line="220" w:lineRule="exact"/>
              <w:rPr>
                <w:rFonts w:eastAsia="仿宋"/>
                <w:sz w:val="18"/>
                <w:szCs w:val="18"/>
              </w:rPr>
            </w:pPr>
          </w:p>
        </w:tc>
        <w:tc>
          <w:tcPr>
            <w:tcW w:w="2077" w:type="dxa"/>
            <w:tcBorders>
              <w:top w:val="nil"/>
              <w:bottom w:val="single" w:color="auto" w:sz="4" w:space="0"/>
            </w:tcBorders>
            <w:vAlign w:val="center"/>
          </w:tcPr>
          <w:p>
            <w:pPr>
              <w:adjustRightInd w:val="0"/>
              <w:snapToGrid w:val="0"/>
              <w:spacing w:line="220" w:lineRule="exact"/>
              <w:rPr>
                <w:rFonts w:eastAsia="仿宋"/>
                <w:sz w:val="18"/>
                <w:szCs w:val="18"/>
              </w:rPr>
            </w:pPr>
            <w:r>
              <w:rPr>
                <w:rFonts w:hint="eastAsia" w:eastAsia="仿宋"/>
                <w:sz w:val="18"/>
                <w:szCs w:val="18"/>
              </w:rPr>
              <w:t>私营工企的投资规模</w:t>
            </w:r>
          </w:p>
        </w:tc>
        <w:tc>
          <w:tcPr>
            <w:tcW w:w="1926" w:type="dxa"/>
            <w:tcBorders>
              <w:top w:val="nil"/>
              <w:bottom w:val="single" w:color="auto" w:sz="4" w:space="0"/>
            </w:tcBorders>
            <w:vAlign w:val="center"/>
          </w:tcPr>
          <w:p>
            <w:pPr>
              <w:adjustRightInd w:val="0"/>
              <w:snapToGrid w:val="0"/>
              <w:spacing w:line="220" w:lineRule="exact"/>
              <w:jc w:val="left"/>
              <w:rPr>
                <w:rFonts w:eastAsia="仿宋"/>
                <w:i/>
                <w:sz w:val="18"/>
                <w:szCs w:val="18"/>
              </w:rPr>
            </w:pPr>
            <w:r>
              <w:rPr>
                <w:rFonts w:eastAsia="仿宋"/>
                <w:sz w:val="18"/>
                <w:szCs w:val="18"/>
              </w:rPr>
              <w:t>ln(</w:t>
            </w:r>
            <w:r>
              <w:rPr>
                <w:rFonts w:hint="eastAsia" w:eastAsia="仿宋"/>
                <w:i/>
                <w:iCs/>
                <w:sz w:val="18"/>
                <w:szCs w:val="18"/>
              </w:rPr>
              <w:t>invest</w:t>
            </w:r>
            <w:r>
              <w:rPr>
                <w:rFonts w:eastAsia="仿宋"/>
                <w:i/>
                <w:iCs/>
                <w:sz w:val="18"/>
                <w:szCs w:val="18"/>
              </w:rPr>
              <w:t>_POEs</w:t>
            </w:r>
            <w:r>
              <w:rPr>
                <w:rFonts w:eastAsia="仿宋"/>
                <w:sz w:val="18"/>
                <w:szCs w:val="18"/>
              </w:rPr>
              <w:t>)</w:t>
            </w:r>
          </w:p>
        </w:tc>
        <w:tc>
          <w:tcPr>
            <w:tcW w:w="3323" w:type="dxa"/>
            <w:tcBorders>
              <w:top w:val="nil"/>
              <w:bottom w:val="single" w:color="auto" w:sz="4" w:space="0"/>
            </w:tcBorders>
            <w:vAlign w:val="center"/>
          </w:tcPr>
          <w:p>
            <w:pPr>
              <w:adjustRightInd w:val="0"/>
              <w:snapToGrid w:val="0"/>
              <w:spacing w:line="220" w:lineRule="exact"/>
              <w:rPr>
                <w:rFonts w:eastAsia="仿宋"/>
                <w:sz w:val="18"/>
                <w:szCs w:val="18"/>
              </w:rPr>
            </w:pPr>
            <w:r>
              <w:rPr>
                <w:rFonts w:hint="eastAsia" w:eastAsia="仿宋"/>
                <w:sz w:val="18"/>
                <w:szCs w:val="18"/>
              </w:rPr>
              <w:t>各省私营规模以上工业企业的固定资产合计的对数值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restart"/>
            <w:tcBorders>
              <w:top w:val="single" w:color="auto" w:sz="4" w:space="0"/>
            </w:tcBorders>
            <w:vAlign w:val="center"/>
          </w:tcPr>
          <w:p>
            <w:pPr>
              <w:adjustRightInd w:val="0"/>
              <w:snapToGrid w:val="0"/>
              <w:spacing w:line="220" w:lineRule="exact"/>
              <w:rPr>
                <w:rFonts w:eastAsia="仿宋"/>
                <w:sz w:val="18"/>
                <w:szCs w:val="18"/>
              </w:rPr>
            </w:pPr>
            <w:r>
              <w:rPr>
                <w:rFonts w:eastAsia="仿宋"/>
                <w:sz w:val="18"/>
                <w:szCs w:val="18"/>
              </w:rPr>
              <w:t>控制变量</w:t>
            </w:r>
          </w:p>
        </w:tc>
        <w:tc>
          <w:tcPr>
            <w:tcW w:w="2077" w:type="dxa"/>
            <w:tcBorders>
              <w:top w:val="single" w:color="auto" w:sz="4" w:space="0"/>
              <w:bottom w:val="nil"/>
            </w:tcBorders>
            <w:vAlign w:val="center"/>
          </w:tcPr>
          <w:p>
            <w:pPr>
              <w:adjustRightInd w:val="0"/>
              <w:snapToGrid w:val="0"/>
              <w:spacing w:line="220" w:lineRule="exact"/>
              <w:rPr>
                <w:rFonts w:eastAsia="仿宋"/>
                <w:sz w:val="18"/>
                <w:szCs w:val="18"/>
              </w:rPr>
            </w:pPr>
            <w:r>
              <w:rPr>
                <w:rFonts w:eastAsia="仿宋"/>
                <w:sz w:val="18"/>
                <w:szCs w:val="18"/>
              </w:rPr>
              <w:t>企业规模</w:t>
            </w:r>
          </w:p>
        </w:tc>
        <w:tc>
          <w:tcPr>
            <w:tcW w:w="1926" w:type="dxa"/>
            <w:tcBorders>
              <w:top w:val="single" w:color="auto" w:sz="4" w:space="0"/>
              <w:bottom w:val="nil"/>
            </w:tcBorders>
            <w:vAlign w:val="center"/>
          </w:tcPr>
          <w:p>
            <w:pPr>
              <w:adjustRightInd w:val="0"/>
              <w:snapToGrid w:val="0"/>
              <w:spacing w:line="220" w:lineRule="exact"/>
              <w:jc w:val="left"/>
              <w:rPr>
                <w:rFonts w:eastAsia="仿宋"/>
                <w:i/>
                <w:sz w:val="18"/>
                <w:szCs w:val="18"/>
              </w:rPr>
            </w:pPr>
            <w:r>
              <w:rPr>
                <w:sz w:val="18"/>
                <w:szCs w:val="18"/>
              </w:rPr>
              <w:t>ln(</w:t>
            </w:r>
            <w:r>
              <w:rPr>
                <w:i/>
                <w:iCs/>
                <w:sz w:val="18"/>
                <w:szCs w:val="18"/>
              </w:rPr>
              <w:t>assets</w:t>
            </w:r>
            <w:r>
              <w:rPr>
                <w:sz w:val="18"/>
                <w:szCs w:val="18"/>
              </w:rPr>
              <w:t>)</w:t>
            </w:r>
          </w:p>
        </w:tc>
        <w:tc>
          <w:tcPr>
            <w:tcW w:w="3323" w:type="dxa"/>
            <w:tcBorders>
              <w:top w:val="single" w:color="auto" w:sz="4" w:space="0"/>
              <w:bottom w:val="nil"/>
            </w:tcBorders>
            <w:vAlign w:val="center"/>
          </w:tcPr>
          <w:p>
            <w:pPr>
              <w:adjustRightInd w:val="0"/>
              <w:snapToGrid w:val="0"/>
              <w:spacing w:line="220" w:lineRule="exact"/>
              <w:rPr>
                <w:rFonts w:eastAsia="仿宋"/>
                <w:sz w:val="18"/>
                <w:szCs w:val="18"/>
              </w:rPr>
            </w:pPr>
            <w:r>
              <w:rPr>
                <w:rFonts w:eastAsia="仿宋"/>
                <w:sz w:val="18"/>
                <w:szCs w:val="18"/>
              </w:rPr>
              <w:t>总资产的对数</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负债率</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eastAsia="仿宋"/>
                <w:i/>
                <w:iCs/>
                <w:sz w:val="18"/>
                <w:szCs w:val="18"/>
              </w:rPr>
              <w:t>Leverage</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总负债/总资产</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总资产报酬率</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i/>
                <w:iCs/>
                <w:sz w:val="18"/>
                <w:szCs w:val="18"/>
              </w:rPr>
              <w:t>ROA</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利润总额</w:t>
            </w:r>
            <w:r>
              <w:rPr>
                <w:rFonts w:eastAsia="仿宋"/>
                <w:sz w:val="18"/>
                <w:szCs w:val="18"/>
              </w:rPr>
              <w:t>/总资产</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经营性风险</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i/>
                <w:iCs/>
                <w:sz w:val="18"/>
                <w:szCs w:val="18"/>
              </w:rPr>
              <w:t>ROA volatility</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企业过去三年中的R</w:t>
            </w:r>
            <w:r>
              <w:rPr>
                <w:rFonts w:eastAsia="仿宋"/>
                <w:sz w:val="18"/>
                <w:szCs w:val="18"/>
              </w:rPr>
              <w:t>OA</w:t>
            </w:r>
            <w:r>
              <w:rPr>
                <w:rFonts w:hint="eastAsia" w:eastAsia="仿宋"/>
                <w:sz w:val="18"/>
                <w:szCs w:val="18"/>
              </w:rPr>
              <w:t>标准差</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销售利润率</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i/>
                <w:iCs/>
                <w:sz w:val="18"/>
                <w:szCs w:val="18"/>
              </w:rPr>
              <w:t>Profit</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利润总额/产品销售收入</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成长能力</w:t>
            </w:r>
          </w:p>
        </w:tc>
        <w:tc>
          <w:tcPr>
            <w:tcW w:w="1926" w:type="dxa"/>
            <w:tcBorders>
              <w:top w:val="nil"/>
              <w:bottom w:val="nil"/>
            </w:tcBorders>
            <w:vAlign w:val="center"/>
          </w:tcPr>
          <w:p>
            <w:pPr>
              <w:adjustRightInd w:val="0"/>
              <w:snapToGrid w:val="0"/>
              <w:spacing w:line="220" w:lineRule="exact"/>
              <w:jc w:val="left"/>
              <w:rPr>
                <w:i/>
                <w:iCs/>
                <w:sz w:val="18"/>
                <w:szCs w:val="18"/>
              </w:rPr>
            </w:pPr>
            <w:r>
              <w:rPr>
                <w:i/>
                <w:iCs/>
                <w:sz w:val="18"/>
                <w:szCs w:val="18"/>
              </w:rPr>
              <w:t>Tobin’s Q</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企业市值</w:t>
            </w:r>
            <w:r>
              <w:rPr>
                <w:rFonts w:eastAsia="仿宋"/>
                <w:sz w:val="18"/>
                <w:szCs w:val="18"/>
              </w:rPr>
              <w:t>/重置价值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有形资产占比</w:t>
            </w:r>
          </w:p>
        </w:tc>
        <w:tc>
          <w:tcPr>
            <w:tcW w:w="1926" w:type="dxa"/>
            <w:tcBorders>
              <w:top w:val="nil"/>
              <w:bottom w:val="nil"/>
            </w:tcBorders>
            <w:vAlign w:val="center"/>
          </w:tcPr>
          <w:p>
            <w:pPr>
              <w:adjustRightInd w:val="0"/>
              <w:snapToGrid w:val="0"/>
              <w:spacing w:line="220" w:lineRule="exact"/>
              <w:jc w:val="left"/>
              <w:rPr>
                <w:i/>
                <w:iCs/>
                <w:sz w:val="18"/>
                <w:szCs w:val="18"/>
              </w:rPr>
            </w:pPr>
            <w:r>
              <w:rPr>
                <w:i/>
                <w:iCs/>
                <w:sz w:val="18"/>
                <w:szCs w:val="18"/>
              </w:rPr>
              <w:t>Tangibility</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（固定资产</w:t>
            </w:r>
            <w:r>
              <w:rPr>
                <w:rFonts w:eastAsia="仿宋"/>
                <w:sz w:val="18"/>
                <w:szCs w:val="18"/>
              </w:rPr>
              <w:t>+存货）/总资产</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银行资产规模</w:t>
            </w:r>
          </w:p>
        </w:tc>
        <w:tc>
          <w:tcPr>
            <w:tcW w:w="1926" w:type="dxa"/>
            <w:tcBorders>
              <w:top w:val="nil"/>
              <w:bottom w:val="nil"/>
            </w:tcBorders>
            <w:vAlign w:val="center"/>
          </w:tcPr>
          <w:p>
            <w:pPr>
              <w:adjustRightInd w:val="0"/>
              <w:snapToGrid w:val="0"/>
              <w:spacing w:line="220" w:lineRule="exact"/>
              <w:jc w:val="left"/>
              <w:rPr>
                <w:i/>
                <w:iCs/>
                <w:sz w:val="18"/>
                <w:szCs w:val="18"/>
              </w:rPr>
            </w:pPr>
            <w:r>
              <w:rPr>
                <w:sz w:val="18"/>
                <w:szCs w:val="18"/>
              </w:rPr>
              <w:t>ln(</w:t>
            </w:r>
            <w:r>
              <w:rPr>
                <w:i/>
                <w:iCs/>
                <w:sz w:val="18"/>
                <w:szCs w:val="18"/>
              </w:rPr>
              <w:t>bank’s assets</w:t>
            </w:r>
            <w:r>
              <w:rPr>
                <w:sz w:val="18"/>
                <w:szCs w:val="18"/>
              </w:rPr>
              <w:t>)</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银行资产总额的自然对数</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银行资本充足率</w:t>
            </w:r>
          </w:p>
        </w:tc>
        <w:tc>
          <w:tcPr>
            <w:tcW w:w="1926" w:type="dxa"/>
            <w:tcBorders>
              <w:top w:val="nil"/>
              <w:bottom w:val="nil"/>
            </w:tcBorders>
            <w:vAlign w:val="center"/>
          </w:tcPr>
          <w:p>
            <w:pPr>
              <w:adjustRightInd w:val="0"/>
              <w:snapToGrid w:val="0"/>
              <w:spacing w:line="220" w:lineRule="exact"/>
              <w:jc w:val="left"/>
              <w:rPr>
                <w:i/>
                <w:iCs/>
                <w:sz w:val="18"/>
                <w:szCs w:val="18"/>
              </w:rPr>
            </w:pPr>
            <w:r>
              <w:rPr>
                <w:i/>
                <w:iCs/>
                <w:sz w:val="18"/>
                <w:szCs w:val="18"/>
              </w:rPr>
              <w:t>Ca ratio</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银行资本充足率（</w:t>
            </w:r>
            <w:r>
              <w:rPr>
                <w:rFonts w:eastAsia="仿宋"/>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银行不良贷款率</w:t>
            </w:r>
          </w:p>
        </w:tc>
        <w:tc>
          <w:tcPr>
            <w:tcW w:w="1926" w:type="dxa"/>
            <w:tcBorders>
              <w:top w:val="nil"/>
              <w:bottom w:val="nil"/>
            </w:tcBorders>
            <w:vAlign w:val="center"/>
          </w:tcPr>
          <w:p>
            <w:pPr>
              <w:adjustRightInd w:val="0"/>
              <w:snapToGrid w:val="0"/>
              <w:spacing w:line="220" w:lineRule="exact"/>
              <w:jc w:val="left"/>
              <w:rPr>
                <w:i/>
                <w:iCs/>
                <w:sz w:val="18"/>
                <w:szCs w:val="18"/>
              </w:rPr>
            </w:pPr>
            <w:r>
              <w:rPr>
                <w:i/>
                <w:iCs/>
                <w:sz w:val="18"/>
                <w:szCs w:val="18"/>
              </w:rPr>
              <w:t>Np ratio</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银行不良贷款率（</w:t>
            </w:r>
            <w:r>
              <w:rPr>
                <w:rFonts w:eastAsia="仿宋"/>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银行拨备覆盖率</w:t>
            </w:r>
          </w:p>
        </w:tc>
        <w:tc>
          <w:tcPr>
            <w:tcW w:w="1926" w:type="dxa"/>
            <w:tcBorders>
              <w:top w:val="nil"/>
              <w:bottom w:val="nil"/>
            </w:tcBorders>
            <w:vAlign w:val="center"/>
          </w:tcPr>
          <w:p>
            <w:pPr>
              <w:adjustRightInd w:val="0"/>
              <w:snapToGrid w:val="0"/>
              <w:spacing w:line="220" w:lineRule="exact"/>
              <w:jc w:val="left"/>
              <w:rPr>
                <w:i/>
                <w:iCs/>
                <w:sz w:val="18"/>
                <w:szCs w:val="18"/>
              </w:rPr>
            </w:pPr>
            <w:r>
              <w:rPr>
                <w:i/>
                <w:iCs/>
                <w:sz w:val="18"/>
                <w:szCs w:val="18"/>
              </w:rPr>
              <w:t>Pc ratio</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银行拨备覆盖率（%）</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GDP总额</w:t>
            </w:r>
          </w:p>
        </w:tc>
        <w:tc>
          <w:tcPr>
            <w:tcW w:w="1926" w:type="dxa"/>
            <w:tcBorders>
              <w:top w:val="nil"/>
              <w:bottom w:val="nil"/>
            </w:tcBorders>
            <w:vAlign w:val="center"/>
          </w:tcPr>
          <w:p>
            <w:pPr>
              <w:adjustRightInd w:val="0"/>
              <w:snapToGrid w:val="0"/>
              <w:spacing w:line="220" w:lineRule="exact"/>
              <w:jc w:val="left"/>
              <w:rPr>
                <w:rFonts w:eastAsia="仿宋"/>
                <w:sz w:val="18"/>
                <w:szCs w:val="18"/>
              </w:rPr>
            </w:pPr>
            <w:r>
              <w:rPr>
                <w:rFonts w:eastAsia="仿宋"/>
                <w:sz w:val="18"/>
                <w:szCs w:val="18"/>
              </w:rPr>
              <w:t>ln(</w:t>
            </w:r>
            <w:r>
              <w:rPr>
                <w:rFonts w:eastAsia="仿宋"/>
                <w:i/>
                <w:iCs/>
                <w:sz w:val="18"/>
                <w:szCs w:val="18"/>
              </w:rPr>
              <w:t>GDP</w:t>
            </w:r>
            <w:r>
              <w:rPr>
                <w:rFonts w:eastAsia="仿宋"/>
                <w:sz w:val="18"/>
                <w:szCs w:val="18"/>
              </w:rPr>
              <w:t>)</w:t>
            </w:r>
          </w:p>
        </w:tc>
        <w:tc>
          <w:tcPr>
            <w:tcW w:w="3323" w:type="dxa"/>
            <w:tcBorders>
              <w:top w:val="nil"/>
              <w:bottom w:val="nil"/>
            </w:tcBorders>
            <w:vAlign w:val="center"/>
          </w:tcPr>
          <w:p>
            <w:pPr>
              <w:adjustRightInd w:val="0"/>
              <w:snapToGrid w:val="0"/>
              <w:spacing w:line="220" w:lineRule="exact"/>
              <w:rPr>
                <w:rFonts w:hint="eastAsia" w:eastAsia="仿宋"/>
                <w:sz w:val="18"/>
                <w:szCs w:val="18"/>
                <w:lang w:val="en-US" w:eastAsia="zh-CN"/>
              </w:rPr>
            </w:pPr>
            <w:r>
              <w:rPr>
                <w:rFonts w:eastAsia="仿宋"/>
                <w:sz w:val="18"/>
                <w:szCs w:val="18"/>
              </w:rPr>
              <w:t>地区生产总值的对数</w:t>
            </w:r>
            <w:r>
              <w:rPr>
                <w:rFonts w:hint="eastAsia" w:eastAsia="仿宋"/>
                <w:sz w:val="18"/>
                <w:szCs w:val="18"/>
                <w:lang w:val="en-US" w:eastAsia="zh-CN"/>
              </w:rPr>
              <w:t>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年末常住人口</w:t>
            </w:r>
            <w:r>
              <w:rPr>
                <w:rFonts w:hint="eastAsia" w:eastAsia="仿宋"/>
                <w:sz w:val="18"/>
                <w:szCs w:val="18"/>
              </w:rPr>
              <w:t>规模</w:t>
            </w:r>
          </w:p>
        </w:tc>
        <w:tc>
          <w:tcPr>
            <w:tcW w:w="1926" w:type="dxa"/>
            <w:tcBorders>
              <w:top w:val="nil"/>
              <w:bottom w:val="nil"/>
            </w:tcBorders>
            <w:vAlign w:val="center"/>
          </w:tcPr>
          <w:p>
            <w:pPr>
              <w:adjustRightInd w:val="0"/>
              <w:snapToGrid w:val="0"/>
              <w:spacing w:line="220" w:lineRule="exact"/>
              <w:jc w:val="left"/>
              <w:rPr>
                <w:rFonts w:eastAsia="仿宋"/>
                <w:sz w:val="18"/>
                <w:szCs w:val="18"/>
              </w:rPr>
            </w:pPr>
            <w:r>
              <w:rPr>
                <w:rFonts w:eastAsia="仿宋"/>
                <w:sz w:val="18"/>
                <w:szCs w:val="18"/>
              </w:rPr>
              <w:t>ln(</w:t>
            </w:r>
            <w:r>
              <w:rPr>
                <w:rFonts w:eastAsia="仿宋"/>
                <w:i/>
                <w:iCs/>
                <w:sz w:val="18"/>
                <w:szCs w:val="18"/>
              </w:rPr>
              <w:t>population</w:t>
            </w:r>
            <w:r>
              <w:rPr>
                <w:rFonts w:eastAsia="仿宋"/>
                <w:sz w:val="18"/>
                <w:szCs w:val="18"/>
              </w:rPr>
              <w:t>)</w:t>
            </w:r>
          </w:p>
        </w:tc>
        <w:tc>
          <w:tcPr>
            <w:tcW w:w="3323" w:type="dxa"/>
            <w:tcBorders>
              <w:top w:val="nil"/>
              <w:bottom w:val="nil"/>
            </w:tcBorders>
            <w:vAlign w:val="center"/>
          </w:tcPr>
          <w:p>
            <w:pPr>
              <w:adjustRightInd w:val="0"/>
              <w:snapToGrid w:val="0"/>
              <w:spacing w:line="220" w:lineRule="exact"/>
              <w:rPr>
                <w:rFonts w:hint="eastAsia" w:eastAsia="仿宋"/>
                <w:sz w:val="18"/>
                <w:szCs w:val="18"/>
                <w:lang w:val="en-US" w:eastAsia="zh-CN"/>
              </w:rPr>
            </w:pPr>
            <w:r>
              <w:rPr>
                <w:rFonts w:eastAsia="仿宋"/>
                <w:sz w:val="18"/>
                <w:szCs w:val="18"/>
              </w:rPr>
              <w:t>年末常住人口的对数</w:t>
            </w:r>
            <w:r>
              <w:rPr>
                <w:rFonts w:hint="eastAsia" w:eastAsia="仿宋"/>
                <w:sz w:val="18"/>
                <w:szCs w:val="18"/>
                <w:lang w:val="en-US" w:eastAsia="zh-CN"/>
              </w:rPr>
              <w:t>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第二产业增加值占比</w:t>
            </w:r>
          </w:p>
        </w:tc>
        <w:tc>
          <w:tcPr>
            <w:tcW w:w="1926" w:type="dxa"/>
            <w:tcBorders>
              <w:top w:val="nil"/>
              <w:bottom w:val="nil"/>
            </w:tcBorders>
            <w:vAlign w:val="center"/>
          </w:tcPr>
          <w:p>
            <w:pPr>
              <w:adjustRightInd w:val="0"/>
              <w:snapToGrid w:val="0"/>
              <w:spacing w:line="220" w:lineRule="exact"/>
              <w:jc w:val="left"/>
              <w:rPr>
                <w:rFonts w:eastAsia="仿宋"/>
                <w:sz w:val="18"/>
                <w:szCs w:val="18"/>
              </w:rPr>
            </w:pPr>
            <w:r>
              <w:rPr>
                <w:rFonts w:eastAsia="仿宋"/>
                <w:i/>
                <w:iCs/>
                <w:sz w:val="18"/>
                <w:szCs w:val="18"/>
              </w:rPr>
              <w:t>(Secondary/GDP)</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第二产业增加值/地区生产总值（%）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GDP增速</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eastAsia="仿宋"/>
                <w:i/>
                <w:iCs/>
                <w:sz w:val="18"/>
                <w:szCs w:val="18"/>
              </w:rPr>
              <w:t>Growth</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GDP增速（%）</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研发人员规模</w:t>
            </w:r>
          </w:p>
        </w:tc>
        <w:tc>
          <w:tcPr>
            <w:tcW w:w="1926" w:type="dxa"/>
            <w:tcBorders>
              <w:top w:val="nil"/>
              <w:bottom w:val="nil"/>
            </w:tcBorders>
            <w:vAlign w:val="center"/>
          </w:tcPr>
          <w:p>
            <w:pPr>
              <w:adjustRightInd w:val="0"/>
              <w:snapToGrid w:val="0"/>
              <w:spacing w:line="220" w:lineRule="exact"/>
              <w:jc w:val="left"/>
              <w:rPr>
                <w:rFonts w:eastAsia="仿宋"/>
                <w:i/>
                <w:sz w:val="18"/>
                <w:szCs w:val="18"/>
              </w:rPr>
            </w:pPr>
            <w:r>
              <w:rPr>
                <w:rFonts w:eastAsia="仿宋"/>
                <w:sz w:val="18"/>
                <w:szCs w:val="18"/>
              </w:rPr>
              <w:t>ln(</w:t>
            </w:r>
            <w:r>
              <w:rPr>
                <w:rFonts w:eastAsia="仿宋"/>
                <w:i/>
                <w:iCs/>
                <w:sz w:val="18"/>
                <w:szCs w:val="18"/>
              </w:rPr>
              <w:t xml:space="preserve">R&amp;D </w:t>
            </w:r>
            <w:r>
              <w:rPr>
                <w:rFonts w:hint="eastAsia" w:eastAsia="仿宋"/>
                <w:i/>
                <w:iCs/>
                <w:sz w:val="18"/>
                <w:szCs w:val="18"/>
              </w:rPr>
              <w:t>personnel</w:t>
            </w:r>
            <w:r>
              <w:rPr>
                <w:rFonts w:eastAsia="仿宋"/>
                <w:sz w:val="18"/>
                <w:szCs w:val="18"/>
              </w:rPr>
              <w:t>)</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研究与试验发展人员（千人）的对数值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CPI</w:t>
            </w:r>
          </w:p>
        </w:tc>
        <w:tc>
          <w:tcPr>
            <w:tcW w:w="1926" w:type="dxa"/>
            <w:tcBorders>
              <w:top w:val="nil"/>
              <w:bottom w:val="nil"/>
            </w:tcBorders>
            <w:vAlign w:val="center"/>
          </w:tcPr>
          <w:p>
            <w:pPr>
              <w:adjustRightInd w:val="0"/>
              <w:snapToGrid w:val="0"/>
              <w:spacing w:line="220" w:lineRule="exact"/>
              <w:jc w:val="left"/>
              <w:rPr>
                <w:rFonts w:eastAsia="仿宋"/>
                <w:i/>
                <w:iCs/>
                <w:sz w:val="18"/>
                <w:szCs w:val="18"/>
              </w:rPr>
            </w:pPr>
            <w:r>
              <w:rPr>
                <w:rFonts w:eastAsia="仿宋"/>
                <w:i/>
                <w:iCs/>
                <w:sz w:val="18"/>
                <w:szCs w:val="18"/>
              </w:rPr>
              <w:t>CP1</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居民消费价格指数</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城镇工资水平</w:t>
            </w:r>
          </w:p>
        </w:tc>
        <w:tc>
          <w:tcPr>
            <w:tcW w:w="1926" w:type="dxa"/>
            <w:tcBorders>
              <w:top w:val="nil"/>
              <w:bottom w:val="nil"/>
            </w:tcBorders>
            <w:vAlign w:val="center"/>
          </w:tcPr>
          <w:p>
            <w:pPr>
              <w:adjustRightInd w:val="0"/>
              <w:snapToGrid w:val="0"/>
              <w:spacing w:line="220" w:lineRule="exact"/>
              <w:jc w:val="left"/>
              <w:rPr>
                <w:rFonts w:eastAsia="仿宋"/>
                <w:i/>
                <w:iCs/>
                <w:sz w:val="18"/>
                <w:szCs w:val="18"/>
              </w:rPr>
            </w:pPr>
            <w:r>
              <w:rPr>
                <w:rFonts w:eastAsia="仿宋"/>
                <w:sz w:val="18"/>
                <w:szCs w:val="18"/>
              </w:rPr>
              <w:t>ln(</w:t>
            </w:r>
            <w:r>
              <w:rPr>
                <w:rFonts w:eastAsia="仿宋"/>
                <w:i/>
                <w:iCs/>
                <w:sz w:val="18"/>
                <w:szCs w:val="18"/>
              </w:rPr>
              <w:t>wages</w:t>
            </w:r>
            <w:r>
              <w:rPr>
                <w:rFonts w:eastAsia="仿宋"/>
                <w:sz w:val="18"/>
                <w:szCs w:val="18"/>
              </w:rPr>
              <w:t>)</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城镇单位就业人员平均工资的对数</w:t>
            </w:r>
            <w:r>
              <w:rPr>
                <w:rFonts w:hint="eastAsia" w:eastAsia="仿宋"/>
                <w:sz w:val="18"/>
                <w:szCs w:val="18"/>
              </w:rPr>
              <w:t>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财政缺口</w:t>
            </w:r>
          </w:p>
        </w:tc>
        <w:tc>
          <w:tcPr>
            <w:tcW w:w="1926" w:type="dxa"/>
            <w:tcBorders>
              <w:top w:val="nil"/>
              <w:bottom w:val="nil"/>
            </w:tcBorders>
            <w:vAlign w:val="center"/>
          </w:tcPr>
          <w:p>
            <w:pPr>
              <w:adjustRightInd w:val="0"/>
              <w:snapToGrid w:val="0"/>
              <w:spacing w:line="220" w:lineRule="exact"/>
              <w:jc w:val="left"/>
              <w:rPr>
                <w:rFonts w:eastAsia="仿宋"/>
                <w:i/>
                <w:iCs/>
                <w:sz w:val="18"/>
                <w:szCs w:val="18"/>
              </w:rPr>
            </w:pPr>
            <w:r>
              <w:rPr>
                <w:rFonts w:eastAsia="仿宋"/>
                <w:i/>
                <w:iCs/>
                <w:sz w:val="18"/>
                <w:szCs w:val="18"/>
              </w:rPr>
              <w:t>Fiscal_gap</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财政支出减去财政收入的差额的对数</w:t>
            </w:r>
            <w:r>
              <w:rPr>
                <w:rFonts w:hint="eastAsia" w:eastAsia="仿宋"/>
                <w:sz w:val="18"/>
                <w:szCs w:val="18"/>
              </w:rPr>
              <w:t>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vAlign w:val="center"/>
          </w:tcPr>
          <w:p>
            <w:pPr>
              <w:adjustRightInd w:val="0"/>
              <w:snapToGrid w:val="0"/>
              <w:spacing w:line="220" w:lineRule="exact"/>
              <w:rPr>
                <w:rFonts w:eastAsia="仿宋"/>
                <w:sz w:val="18"/>
                <w:szCs w:val="18"/>
              </w:rPr>
            </w:pPr>
          </w:p>
        </w:tc>
        <w:tc>
          <w:tcPr>
            <w:tcW w:w="2077" w:type="dxa"/>
            <w:tcBorders>
              <w:top w:val="nil"/>
              <w:bottom w:val="nil"/>
            </w:tcBorders>
            <w:vAlign w:val="center"/>
          </w:tcPr>
          <w:p>
            <w:pPr>
              <w:adjustRightInd w:val="0"/>
              <w:snapToGrid w:val="0"/>
              <w:spacing w:line="220" w:lineRule="exact"/>
              <w:rPr>
                <w:rFonts w:eastAsia="仿宋"/>
                <w:sz w:val="18"/>
                <w:szCs w:val="18"/>
              </w:rPr>
            </w:pPr>
            <w:r>
              <w:rPr>
                <w:rFonts w:eastAsia="仿宋"/>
                <w:sz w:val="18"/>
                <w:szCs w:val="18"/>
              </w:rPr>
              <w:t>第二产业就业人数占比</w:t>
            </w:r>
          </w:p>
        </w:tc>
        <w:tc>
          <w:tcPr>
            <w:tcW w:w="1926" w:type="dxa"/>
            <w:tcBorders>
              <w:top w:val="nil"/>
              <w:bottom w:val="nil"/>
            </w:tcBorders>
            <w:vAlign w:val="center"/>
          </w:tcPr>
          <w:p>
            <w:pPr>
              <w:adjustRightInd w:val="0"/>
              <w:snapToGrid w:val="0"/>
              <w:spacing w:line="220" w:lineRule="exact"/>
              <w:jc w:val="left"/>
              <w:rPr>
                <w:rFonts w:eastAsia="仿宋"/>
                <w:i/>
                <w:iCs/>
                <w:sz w:val="18"/>
                <w:szCs w:val="18"/>
              </w:rPr>
            </w:pPr>
            <w:r>
              <w:rPr>
                <w:rFonts w:eastAsia="仿宋"/>
                <w:i/>
                <w:iCs/>
                <w:sz w:val="18"/>
                <w:szCs w:val="18"/>
              </w:rPr>
              <w:t>(Secondary/population)</w:t>
            </w:r>
          </w:p>
        </w:tc>
        <w:tc>
          <w:tcPr>
            <w:tcW w:w="3323" w:type="dxa"/>
            <w:tcBorders>
              <w:top w:val="nil"/>
              <w:bottom w:val="nil"/>
            </w:tcBorders>
            <w:vAlign w:val="center"/>
          </w:tcPr>
          <w:p>
            <w:pPr>
              <w:adjustRightInd w:val="0"/>
              <w:snapToGrid w:val="0"/>
              <w:spacing w:line="220" w:lineRule="exact"/>
              <w:rPr>
                <w:rFonts w:eastAsia="仿宋"/>
                <w:sz w:val="18"/>
                <w:szCs w:val="18"/>
              </w:rPr>
            </w:pPr>
            <w:r>
              <w:rPr>
                <w:rFonts w:hint="eastAsia" w:eastAsia="仿宋"/>
                <w:sz w:val="18"/>
                <w:szCs w:val="18"/>
              </w:rPr>
              <w:t>第</w:t>
            </w:r>
            <w:r>
              <w:rPr>
                <w:rFonts w:eastAsia="仿宋"/>
                <w:sz w:val="18"/>
                <w:szCs w:val="18"/>
              </w:rPr>
              <w:t>二产业就业总人数占该省全行业就业总人数的比重</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blHeader/>
          <w:jc w:val="center"/>
        </w:trPr>
        <w:tc>
          <w:tcPr>
            <w:tcW w:w="1116" w:type="dxa"/>
            <w:vMerge w:val="continue"/>
            <w:tcBorders>
              <w:bottom w:val="single" w:color="auto" w:sz="8" w:space="0"/>
            </w:tcBorders>
            <w:vAlign w:val="center"/>
          </w:tcPr>
          <w:p>
            <w:pPr>
              <w:adjustRightInd w:val="0"/>
              <w:snapToGrid w:val="0"/>
              <w:spacing w:line="220" w:lineRule="exact"/>
              <w:rPr>
                <w:rFonts w:eastAsia="仿宋"/>
                <w:sz w:val="18"/>
                <w:szCs w:val="18"/>
              </w:rPr>
            </w:pPr>
          </w:p>
        </w:tc>
        <w:tc>
          <w:tcPr>
            <w:tcW w:w="2077" w:type="dxa"/>
            <w:tcBorders>
              <w:top w:val="nil"/>
              <w:bottom w:val="single" w:color="auto" w:sz="8" w:space="0"/>
            </w:tcBorders>
            <w:vAlign w:val="center"/>
          </w:tcPr>
          <w:p>
            <w:pPr>
              <w:adjustRightInd w:val="0"/>
              <w:snapToGrid w:val="0"/>
              <w:spacing w:line="220" w:lineRule="exact"/>
              <w:rPr>
                <w:rFonts w:eastAsia="仿宋"/>
                <w:sz w:val="18"/>
                <w:szCs w:val="18"/>
              </w:rPr>
            </w:pPr>
            <w:r>
              <w:rPr>
                <w:rFonts w:hint="eastAsia" w:eastAsia="仿宋"/>
                <w:sz w:val="18"/>
                <w:szCs w:val="18"/>
              </w:rPr>
              <w:t>城镇单位就业人员规模</w:t>
            </w:r>
          </w:p>
        </w:tc>
        <w:tc>
          <w:tcPr>
            <w:tcW w:w="1926" w:type="dxa"/>
            <w:tcBorders>
              <w:top w:val="nil"/>
              <w:bottom w:val="single" w:color="auto" w:sz="8" w:space="0"/>
            </w:tcBorders>
            <w:vAlign w:val="center"/>
          </w:tcPr>
          <w:p>
            <w:pPr>
              <w:adjustRightInd w:val="0"/>
              <w:snapToGrid w:val="0"/>
              <w:spacing w:line="220" w:lineRule="exact"/>
              <w:jc w:val="left"/>
              <w:rPr>
                <w:rFonts w:eastAsia="仿宋"/>
                <w:i/>
                <w:iCs/>
                <w:sz w:val="18"/>
                <w:szCs w:val="18"/>
              </w:rPr>
            </w:pPr>
            <w:r>
              <w:rPr>
                <w:rFonts w:eastAsia="仿宋"/>
                <w:sz w:val="18"/>
                <w:szCs w:val="18"/>
              </w:rPr>
              <w:t>ln(</w:t>
            </w:r>
            <w:r>
              <w:rPr>
                <w:rFonts w:hint="eastAsia" w:eastAsia="仿宋"/>
                <w:i/>
                <w:iCs/>
                <w:sz w:val="18"/>
                <w:szCs w:val="18"/>
              </w:rPr>
              <w:t>employed population</w:t>
            </w:r>
            <w:r>
              <w:rPr>
                <w:rFonts w:eastAsia="仿宋"/>
                <w:sz w:val="18"/>
                <w:szCs w:val="18"/>
              </w:rPr>
              <w:t>)</w:t>
            </w:r>
          </w:p>
        </w:tc>
        <w:tc>
          <w:tcPr>
            <w:tcW w:w="3323" w:type="dxa"/>
            <w:tcBorders>
              <w:top w:val="nil"/>
              <w:bottom w:val="single" w:color="auto" w:sz="8" w:space="0"/>
            </w:tcBorders>
            <w:vAlign w:val="center"/>
          </w:tcPr>
          <w:p>
            <w:pPr>
              <w:adjustRightInd w:val="0"/>
              <w:snapToGrid w:val="0"/>
              <w:spacing w:line="220" w:lineRule="exact"/>
              <w:rPr>
                <w:rFonts w:eastAsia="仿宋"/>
                <w:sz w:val="18"/>
                <w:szCs w:val="18"/>
              </w:rPr>
            </w:pPr>
            <w:r>
              <w:rPr>
                <w:rFonts w:hint="eastAsia" w:eastAsia="仿宋"/>
                <w:sz w:val="18"/>
                <w:szCs w:val="18"/>
              </w:rPr>
              <w:t>城镇单位就业人员（万人）的对数值</w:t>
            </w:r>
          </w:p>
        </w:tc>
      </w:tr>
    </w:tbl>
    <w:p>
      <w:pPr>
        <w:pStyle w:val="17"/>
        <w:spacing w:before="312" w:beforeLines="100" w:after="156"/>
        <w:ind w:firstLine="420"/>
      </w:pPr>
    </w:p>
    <w:p>
      <w:pPr>
        <w:pStyle w:val="17"/>
        <w:spacing w:before="312" w:beforeLines="100" w:after="156"/>
        <w:ind w:firstLine="420"/>
        <w:rPr>
          <w:rFonts w:hint="eastAsia" w:ascii="宋体" w:hAnsi="宋体" w:eastAsia="宋体" w:cs="宋体"/>
          <w:b/>
          <w:bCs/>
          <w:sz w:val="20"/>
          <w:szCs w:val="22"/>
        </w:rPr>
      </w:pPr>
      <w:r>
        <w:rPr>
          <w:rFonts w:hint="eastAsia" w:ascii="宋体" w:hAnsi="宋体" w:eastAsia="宋体" w:cs="宋体"/>
          <w:b/>
          <w:bCs/>
          <w:sz w:val="20"/>
          <w:szCs w:val="22"/>
        </w:rPr>
        <w:t>表I2  主要变量的描述性统计结果</w:t>
      </w:r>
    </w:p>
    <w:tbl>
      <w:tblPr>
        <w:tblStyle w:val="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75" w:type="dxa"/>
          <w:bottom w:w="0" w:type="dxa"/>
          <w:right w:w="75" w:type="dxa"/>
        </w:tblCellMar>
      </w:tblPr>
      <w:tblGrid>
        <w:gridCol w:w="2311"/>
        <w:gridCol w:w="885"/>
        <w:gridCol w:w="824"/>
        <w:gridCol w:w="1197"/>
        <w:gridCol w:w="22"/>
        <w:gridCol w:w="1004"/>
        <w:gridCol w:w="1026"/>
        <w:gridCol w:w="11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single" w:color="auto" w:sz="8" w:space="0"/>
              <w:bottom w:val="single" w:color="auto" w:sz="4" w:space="0"/>
              <w:right w:val="nil"/>
            </w:tcBorders>
            <w:shd w:val="clear" w:color="auto" w:fill="auto"/>
            <w:vAlign w:val="center"/>
          </w:tcPr>
          <w:p>
            <w:pPr>
              <w:autoSpaceDE w:val="0"/>
              <w:autoSpaceDN w:val="0"/>
              <w:adjustRightInd w:val="0"/>
              <w:snapToGrid w:val="0"/>
              <w:spacing w:line="220" w:lineRule="exact"/>
              <w:rPr>
                <w:rFonts w:eastAsia="仿宋"/>
                <w:sz w:val="18"/>
                <w:szCs w:val="18"/>
              </w:rPr>
            </w:pPr>
            <w:r>
              <w:rPr>
                <w:rFonts w:eastAsia="仿宋"/>
                <w:sz w:val="18"/>
                <w:szCs w:val="18"/>
              </w:rPr>
              <w:t>变量</w:t>
            </w:r>
          </w:p>
        </w:tc>
        <w:tc>
          <w:tcPr>
            <w:tcW w:w="523" w:type="pct"/>
            <w:tcBorders>
              <w:top w:val="single" w:color="auto" w:sz="8" w:space="0"/>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仿宋"/>
                <w:sz w:val="18"/>
                <w:szCs w:val="18"/>
              </w:rPr>
              <w:t>观测值</w:t>
            </w:r>
          </w:p>
        </w:tc>
        <w:tc>
          <w:tcPr>
            <w:tcW w:w="487" w:type="pct"/>
            <w:tcBorders>
              <w:top w:val="single" w:color="auto" w:sz="8" w:space="0"/>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仿宋"/>
                <w:sz w:val="18"/>
                <w:szCs w:val="18"/>
              </w:rPr>
              <w:t>均值</w:t>
            </w:r>
          </w:p>
        </w:tc>
        <w:tc>
          <w:tcPr>
            <w:tcW w:w="707" w:type="pct"/>
            <w:tcBorders>
              <w:top w:val="single" w:color="auto" w:sz="8" w:space="0"/>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仿宋"/>
                <w:sz w:val="18"/>
                <w:szCs w:val="18"/>
              </w:rPr>
              <w:t>标准差</w:t>
            </w:r>
          </w:p>
        </w:tc>
        <w:tc>
          <w:tcPr>
            <w:tcW w:w="606" w:type="pct"/>
            <w:gridSpan w:val="2"/>
            <w:tcBorders>
              <w:top w:val="single" w:color="auto" w:sz="8" w:space="0"/>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仿宋"/>
                <w:sz w:val="18"/>
                <w:szCs w:val="18"/>
              </w:rPr>
              <w:t>最</w:t>
            </w:r>
            <w:r>
              <w:rPr>
                <w:rFonts w:hint="eastAsia" w:eastAsia="仿宋"/>
                <w:sz w:val="18"/>
                <w:szCs w:val="18"/>
              </w:rPr>
              <w:t>小</w:t>
            </w:r>
            <w:r>
              <w:rPr>
                <w:rFonts w:eastAsia="仿宋"/>
                <w:sz w:val="18"/>
                <w:szCs w:val="18"/>
              </w:rPr>
              <w:t>值</w:t>
            </w:r>
          </w:p>
        </w:tc>
        <w:tc>
          <w:tcPr>
            <w:tcW w:w="606" w:type="pct"/>
            <w:tcBorders>
              <w:top w:val="single" w:color="auto" w:sz="8" w:space="0"/>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仿宋"/>
                <w:sz w:val="18"/>
                <w:szCs w:val="18"/>
              </w:rPr>
              <w:t>中位数</w:t>
            </w:r>
          </w:p>
        </w:tc>
        <w:tc>
          <w:tcPr>
            <w:tcW w:w="705" w:type="pct"/>
            <w:tcBorders>
              <w:top w:val="single" w:color="auto" w:sz="8" w:space="0"/>
              <w:left w:val="nil"/>
              <w:bottom w:val="single" w:color="auto" w:sz="4" w:space="0"/>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仿宋"/>
                <w:sz w:val="18"/>
                <w:szCs w:val="18"/>
              </w:rPr>
              <w:t>最</w:t>
            </w:r>
            <w:r>
              <w:rPr>
                <w:rFonts w:hint="eastAsia" w:eastAsia="仿宋"/>
                <w:sz w:val="18"/>
                <w:szCs w:val="18"/>
              </w:rPr>
              <w:t>大</w:t>
            </w:r>
            <w:r>
              <w:rPr>
                <w:rFonts w:eastAsia="仿宋"/>
                <w:sz w:val="18"/>
                <w:szCs w:val="18"/>
              </w:rPr>
              <w:t>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5000" w:type="pct"/>
            <w:gridSpan w:val="8"/>
            <w:tcBorders>
              <w:top w:val="single" w:color="auto" w:sz="4" w:space="0"/>
              <w:bottom w:val="single" w:color="auto" w:sz="4" w:space="0"/>
            </w:tcBorders>
            <w:shd w:val="clear" w:color="auto" w:fill="auto"/>
            <w:vAlign w:val="center"/>
          </w:tcPr>
          <w:p>
            <w:pPr>
              <w:autoSpaceDE w:val="0"/>
              <w:autoSpaceDN w:val="0"/>
              <w:adjustRightInd w:val="0"/>
              <w:snapToGrid w:val="0"/>
              <w:spacing w:line="220" w:lineRule="exact"/>
              <w:rPr>
                <w:rFonts w:eastAsia="仿宋"/>
                <w:bCs/>
                <w:sz w:val="18"/>
                <w:szCs w:val="18"/>
              </w:rPr>
            </w:pPr>
            <w:r>
              <w:rPr>
                <w:rFonts w:eastAsia="仿宋"/>
                <w:bCs/>
                <w:sz w:val="18"/>
                <w:szCs w:val="18"/>
              </w:rPr>
              <w:t>Panel A</w:t>
            </w:r>
            <w:r>
              <w:rPr>
                <w:rFonts w:hint="eastAsia" w:eastAsia="仿宋"/>
                <w:bCs/>
                <w:sz w:val="18"/>
                <w:szCs w:val="18"/>
              </w:rPr>
              <w:t>.</w:t>
            </w:r>
            <w:r>
              <w:rPr>
                <w:rFonts w:eastAsia="仿宋"/>
                <w:bCs/>
                <w:sz w:val="18"/>
                <w:szCs w:val="18"/>
              </w:rPr>
              <w:t xml:space="preserve"> </w:t>
            </w:r>
            <w:r>
              <w:rPr>
                <w:rFonts w:hint="eastAsia" w:eastAsia="仿宋"/>
                <w:bCs/>
                <w:sz w:val="18"/>
                <w:szCs w:val="18"/>
              </w:rPr>
              <w:t>规模以上工业企业数据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single" w:color="auto" w:sz="4" w:space="0"/>
              <w:bottom w:val="nil"/>
              <w:right w:val="nil"/>
            </w:tcBorders>
            <w:shd w:val="clear" w:color="auto" w:fill="auto"/>
            <w:vAlign w:val="center"/>
          </w:tcPr>
          <w:p>
            <w:pPr>
              <w:autoSpaceDE w:val="0"/>
              <w:autoSpaceDN w:val="0"/>
              <w:adjustRightInd w:val="0"/>
              <w:snapToGrid w:val="0"/>
              <w:spacing w:line="220" w:lineRule="exact"/>
              <w:rPr>
                <w:rFonts w:eastAsia="仿宋"/>
                <w:sz w:val="18"/>
                <w:szCs w:val="18"/>
              </w:rPr>
            </w:pPr>
            <w:r>
              <w:rPr>
                <w:i/>
                <w:iCs/>
                <w:sz w:val="18"/>
                <w:szCs w:val="18"/>
              </w:rPr>
              <w:t>Big</w:t>
            </w:r>
            <w:r>
              <w:rPr>
                <w:rFonts w:hint="eastAsia"/>
                <w:i/>
                <w:iCs/>
                <w:sz w:val="18"/>
                <w:szCs w:val="18"/>
              </w:rPr>
              <w:t>F</w:t>
            </w:r>
          </w:p>
        </w:tc>
        <w:tc>
          <w:tcPr>
            <w:tcW w:w="523"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319372</w:t>
            </w:r>
          </w:p>
        </w:tc>
        <w:tc>
          <w:tcPr>
            <w:tcW w:w="487"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0.611</w:t>
            </w:r>
          </w:p>
        </w:tc>
        <w:tc>
          <w:tcPr>
            <w:tcW w:w="707"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0.488</w:t>
            </w:r>
          </w:p>
        </w:tc>
        <w:tc>
          <w:tcPr>
            <w:tcW w:w="606" w:type="pct"/>
            <w:gridSpan w:val="2"/>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606"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c>
          <w:tcPr>
            <w:tcW w:w="705" w:type="pct"/>
            <w:tcBorders>
              <w:top w:val="single" w:color="auto" w:sz="4" w:space="0"/>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sz w:val="18"/>
                <w:szCs w:val="18"/>
              </w:rPr>
            </w:pPr>
            <w:r>
              <w:rPr>
                <w:i/>
                <w:iCs/>
                <w:sz w:val="18"/>
                <w:szCs w:val="18"/>
              </w:rPr>
              <w:t>Lemp</w:t>
            </w:r>
            <w:r>
              <w:rPr>
                <w:rFonts w:hint="eastAsia"/>
                <w:i/>
                <w:iCs/>
                <w:sz w:val="18"/>
                <w:szCs w:val="18"/>
              </w:rPr>
              <w:t>F</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218521</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0.368</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0.482</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sz w:val="18"/>
                <w:szCs w:val="18"/>
              </w:rPr>
            </w:pPr>
            <w:r>
              <w:rPr>
                <w:i/>
                <w:iCs/>
                <w:sz w:val="18"/>
                <w:szCs w:val="18"/>
              </w:rPr>
              <w:t>SOE</w:t>
            </w:r>
            <w:r>
              <w:rPr>
                <w:rFonts w:hint="eastAsia"/>
                <w:i/>
                <w:iCs/>
                <w:sz w:val="18"/>
                <w:szCs w:val="18"/>
              </w:rPr>
              <w:t>s</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234796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0.085</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0.279</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sz w:val="18"/>
                <w:szCs w:val="18"/>
              </w:rPr>
            </w:pPr>
            <w:r>
              <w:rPr>
                <w:i/>
                <w:iCs/>
                <w:sz w:val="18"/>
                <w:szCs w:val="18"/>
              </w:rPr>
              <w:t>Low</w:t>
            </w:r>
            <w:r>
              <w:rPr>
                <w:rFonts w:hint="eastAsia"/>
                <w:i/>
                <w:iCs/>
                <w:sz w:val="18"/>
                <w:szCs w:val="18"/>
              </w:rPr>
              <w:t>PF</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319372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0.498</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0.500</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i/>
                <w:iCs/>
                <w:sz w:val="18"/>
                <w:szCs w:val="18"/>
              </w:rPr>
            </w:pPr>
            <w:r>
              <w:rPr>
                <w:rFonts w:eastAsia="仿宋"/>
                <w:i/>
                <w:iCs/>
                <w:sz w:val="18"/>
                <w:szCs w:val="18"/>
              </w:rPr>
              <w:t>Z</w:t>
            </w:r>
            <w:r>
              <w:rPr>
                <w:rFonts w:hint="eastAsia" w:eastAsia="仿宋"/>
                <w:i/>
                <w:iCs/>
                <w:sz w:val="18"/>
                <w:szCs w:val="18"/>
              </w:rPr>
              <w:t>b</w:t>
            </w:r>
            <w:r>
              <w:rPr>
                <w:rFonts w:eastAsia="仿宋"/>
                <w:i/>
                <w:iCs/>
                <w:sz w:val="18"/>
                <w:szCs w:val="18"/>
              </w:rPr>
              <w:t>_R1</w:t>
            </w:r>
          </w:p>
        </w:tc>
        <w:tc>
          <w:tcPr>
            <w:tcW w:w="523"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311108</w:t>
            </w:r>
          </w:p>
        </w:tc>
        <w:tc>
          <w:tcPr>
            <w:tcW w:w="487"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0.035</w:t>
            </w:r>
          </w:p>
        </w:tc>
        <w:tc>
          <w:tcPr>
            <w:tcW w:w="707"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0.184</w:t>
            </w:r>
          </w:p>
        </w:tc>
        <w:tc>
          <w:tcPr>
            <w:tcW w:w="606" w:type="pct"/>
            <w:gridSpan w:val="2"/>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w:t>
            </w:r>
          </w:p>
        </w:tc>
        <w:tc>
          <w:tcPr>
            <w:tcW w:w="606"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w:t>
            </w:r>
          </w:p>
        </w:tc>
        <w:tc>
          <w:tcPr>
            <w:tcW w:w="705" w:type="pct"/>
            <w:tcBorders>
              <w:top w:val="nil"/>
              <w:left w:val="nil"/>
              <w:bottom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i/>
                <w:iCs/>
                <w:sz w:val="18"/>
                <w:szCs w:val="18"/>
              </w:rPr>
            </w:pPr>
            <w:r>
              <w:rPr>
                <w:rFonts w:eastAsia="仿宋"/>
                <w:i/>
                <w:iCs/>
                <w:sz w:val="18"/>
                <w:szCs w:val="18"/>
              </w:rPr>
              <w:t>Z</w:t>
            </w:r>
            <w:r>
              <w:rPr>
                <w:rFonts w:hint="eastAsia" w:eastAsia="仿宋"/>
                <w:i/>
                <w:iCs/>
                <w:sz w:val="18"/>
                <w:szCs w:val="18"/>
              </w:rPr>
              <w:t>b</w:t>
            </w:r>
            <w:r>
              <w:rPr>
                <w:rFonts w:eastAsia="仿宋"/>
                <w:i/>
                <w:iCs/>
                <w:sz w:val="18"/>
                <w:szCs w:val="18"/>
              </w:rPr>
              <w:t>_R2</w:t>
            </w:r>
          </w:p>
        </w:tc>
        <w:tc>
          <w:tcPr>
            <w:tcW w:w="523"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311108</w:t>
            </w:r>
          </w:p>
        </w:tc>
        <w:tc>
          <w:tcPr>
            <w:tcW w:w="487"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0.041</w:t>
            </w:r>
          </w:p>
        </w:tc>
        <w:tc>
          <w:tcPr>
            <w:tcW w:w="707"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0.198</w:t>
            </w:r>
          </w:p>
        </w:tc>
        <w:tc>
          <w:tcPr>
            <w:tcW w:w="606" w:type="pct"/>
            <w:gridSpan w:val="2"/>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w:t>
            </w:r>
          </w:p>
        </w:tc>
        <w:tc>
          <w:tcPr>
            <w:tcW w:w="606"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w:t>
            </w:r>
          </w:p>
        </w:tc>
        <w:tc>
          <w:tcPr>
            <w:tcW w:w="705" w:type="pct"/>
            <w:tcBorders>
              <w:top w:val="nil"/>
              <w:left w:val="nil"/>
              <w:bottom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i/>
                <w:iCs/>
                <w:sz w:val="18"/>
                <w:szCs w:val="18"/>
              </w:rPr>
            </w:pPr>
            <w:r>
              <w:rPr>
                <w:rFonts w:eastAsia="仿宋"/>
                <w:i/>
                <w:iCs/>
                <w:sz w:val="18"/>
                <w:szCs w:val="18"/>
              </w:rPr>
              <w:t>Z</w:t>
            </w:r>
            <w:r>
              <w:rPr>
                <w:rFonts w:hint="eastAsia" w:eastAsia="仿宋"/>
                <w:i/>
                <w:iCs/>
                <w:sz w:val="18"/>
                <w:szCs w:val="18"/>
              </w:rPr>
              <w:t>b</w:t>
            </w:r>
            <w:r>
              <w:rPr>
                <w:rFonts w:eastAsia="仿宋"/>
                <w:i/>
                <w:iCs/>
                <w:sz w:val="18"/>
                <w:szCs w:val="18"/>
              </w:rPr>
              <w:t>_D1</w:t>
            </w:r>
          </w:p>
        </w:tc>
        <w:tc>
          <w:tcPr>
            <w:tcW w:w="523"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311108</w:t>
            </w:r>
          </w:p>
        </w:tc>
        <w:tc>
          <w:tcPr>
            <w:tcW w:w="487"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0.015</w:t>
            </w:r>
          </w:p>
        </w:tc>
        <w:tc>
          <w:tcPr>
            <w:tcW w:w="707"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0.120</w:t>
            </w:r>
          </w:p>
        </w:tc>
        <w:tc>
          <w:tcPr>
            <w:tcW w:w="606" w:type="pct"/>
            <w:gridSpan w:val="2"/>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w:t>
            </w:r>
          </w:p>
        </w:tc>
        <w:tc>
          <w:tcPr>
            <w:tcW w:w="606"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w:t>
            </w:r>
          </w:p>
        </w:tc>
        <w:tc>
          <w:tcPr>
            <w:tcW w:w="705" w:type="pct"/>
            <w:tcBorders>
              <w:top w:val="nil"/>
              <w:left w:val="nil"/>
              <w:bottom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i/>
                <w:iCs/>
                <w:sz w:val="18"/>
                <w:szCs w:val="18"/>
              </w:rPr>
            </w:pPr>
            <w:r>
              <w:rPr>
                <w:rFonts w:eastAsia="仿宋"/>
                <w:i/>
                <w:iCs/>
                <w:sz w:val="18"/>
                <w:szCs w:val="18"/>
              </w:rPr>
              <w:t>Z</w:t>
            </w:r>
            <w:r>
              <w:rPr>
                <w:rFonts w:hint="eastAsia" w:eastAsia="仿宋"/>
                <w:i/>
                <w:iCs/>
                <w:sz w:val="18"/>
                <w:szCs w:val="18"/>
              </w:rPr>
              <w:t>b</w:t>
            </w:r>
            <w:r>
              <w:rPr>
                <w:rFonts w:eastAsia="仿宋"/>
                <w:i/>
                <w:iCs/>
                <w:sz w:val="18"/>
                <w:szCs w:val="18"/>
              </w:rPr>
              <w:t>_D2</w:t>
            </w:r>
          </w:p>
        </w:tc>
        <w:tc>
          <w:tcPr>
            <w:tcW w:w="523"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311108</w:t>
            </w:r>
          </w:p>
        </w:tc>
        <w:tc>
          <w:tcPr>
            <w:tcW w:w="487"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0.016</w:t>
            </w:r>
          </w:p>
        </w:tc>
        <w:tc>
          <w:tcPr>
            <w:tcW w:w="707"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0.127</w:t>
            </w:r>
          </w:p>
        </w:tc>
        <w:tc>
          <w:tcPr>
            <w:tcW w:w="606" w:type="pct"/>
            <w:gridSpan w:val="2"/>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w:t>
            </w:r>
          </w:p>
        </w:tc>
        <w:tc>
          <w:tcPr>
            <w:tcW w:w="606" w:type="pct"/>
            <w:tcBorders>
              <w:top w:val="nil"/>
              <w:left w:val="nil"/>
              <w:bottom w:val="nil"/>
              <w:right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0</w:t>
            </w:r>
          </w:p>
        </w:tc>
        <w:tc>
          <w:tcPr>
            <w:tcW w:w="705" w:type="pct"/>
            <w:tcBorders>
              <w:top w:val="nil"/>
              <w:left w:val="nil"/>
              <w:bottom w:val="nil"/>
            </w:tcBorders>
            <w:shd w:val="clear" w:color="auto" w:fill="auto"/>
          </w:tcPr>
          <w:p>
            <w:pPr>
              <w:autoSpaceDE w:val="0"/>
              <w:autoSpaceDN w:val="0"/>
              <w:adjustRightInd w:val="0"/>
              <w:snapToGrid w:val="0"/>
              <w:spacing w:line="220" w:lineRule="exact"/>
              <w:jc w:val="center"/>
              <w:rPr>
                <w:rFonts w:eastAsia="等线"/>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sz w:val="18"/>
                <w:szCs w:val="18"/>
              </w:rPr>
              <w:t>ln(</w:t>
            </w:r>
            <w:r>
              <w:rPr>
                <w:i/>
                <w:iCs/>
                <w:sz w:val="18"/>
                <w:szCs w:val="18"/>
              </w:rPr>
              <w:t>assets</w:t>
            </w:r>
            <w:r>
              <w:rPr>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319372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10.860</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1.357</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8.027</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10.710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14.280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i/>
                <w:iCs/>
                <w:sz w:val="18"/>
                <w:szCs w:val="18"/>
              </w:rPr>
              <w:t>Leverage</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319372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0.532</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0.266</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0.010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0.543</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i/>
                <w:iCs/>
                <w:sz w:val="18"/>
                <w:szCs w:val="18"/>
              </w:rPr>
              <w:t>ROA</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319372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0.145</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0.222</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-0.131</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0.062</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0.981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i/>
                <w:iCs/>
                <w:sz w:val="18"/>
                <w:szCs w:val="18"/>
              </w:rPr>
              <w:t>ROA volatility</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319372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0.067</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0.084</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0.001</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0.035</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0.421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single" w:color="auto" w:sz="4" w:space="0"/>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i/>
                <w:iCs/>
                <w:sz w:val="18"/>
                <w:szCs w:val="18"/>
              </w:rPr>
              <w:t>Profit</w:t>
            </w:r>
          </w:p>
        </w:tc>
        <w:tc>
          <w:tcPr>
            <w:tcW w:w="523" w:type="pct"/>
            <w:tcBorders>
              <w:top w:val="nil"/>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319372</w:t>
            </w:r>
          </w:p>
        </w:tc>
        <w:tc>
          <w:tcPr>
            <w:tcW w:w="487" w:type="pct"/>
            <w:tcBorders>
              <w:top w:val="nil"/>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0.052</w:t>
            </w:r>
          </w:p>
        </w:tc>
        <w:tc>
          <w:tcPr>
            <w:tcW w:w="707" w:type="pct"/>
            <w:tcBorders>
              <w:top w:val="nil"/>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0.075</w:t>
            </w:r>
          </w:p>
        </w:tc>
        <w:tc>
          <w:tcPr>
            <w:tcW w:w="606" w:type="pct"/>
            <w:gridSpan w:val="2"/>
            <w:tcBorders>
              <w:top w:val="nil"/>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-0.198</w:t>
            </w:r>
          </w:p>
        </w:tc>
        <w:tc>
          <w:tcPr>
            <w:tcW w:w="606" w:type="pct"/>
            <w:tcBorders>
              <w:top w:val="nil"/>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0.038</w:t>
            </w:r>
          </w:p>
        </w:tc>
        <w:tc>
          <w:tcPr>
            <w:tcW w:w="705" w:type="pct"/>
            <w:tcBorders>
              <w:top w:val="nil"/>
              <w:left w:val="nil"/>
              <w:bottom w:val="single" w:color="auto" w:sz="4" w:space="0"/>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0.343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5000" w:type="pct"/>
            <w:gridSpan w:val="8"/>
            <w:tcBorders>
              <w:top w:val="single" w:color="auto" w:sz="4" w:space="0"/>
              <w:bottom w:val="single" w:color="auto" w:sz="4" w:space="0"/>
            </w:tcBorders>
            <w:shd w:val="clear" w:color="auto" w:fill="auto"/>
            <w:vAlign w:val="center"/>
          </w:tcPr>
          <w:p>
            <w:pPr>
              <w:autoSpaceDE w:val="0"/>
              <w:autoSpaceDN w:val="0"/>
              <w:adjustRightInd w:val="0"/>
              <w:snapToGrid w:val="0"/>
              <w:spacing w:line="220" w:lineRule="exact"/>
              <w:rPr>
                <w:rFonts w:eastAsia="仿宋"/>
                <w:bCs/>
                <w:sz w:val="18"/>
                <w:szCs w:val="18"/>
              </w:rPr>
            </w:pPr>
            <w:r>
              <w:rPr>
                <w:rFonts w:eastAsia="仿宋"/>
                <w:bCs/>
                <w:sz w:val="18"/>
                <w:szCs w:val="18"/>
              </w:rPr>
              <w:t>Panel B</w:t>
            </w:r>
            <w:r>
              <w:rPr>
                <w:rFonts w:hint="eastAsia" w:eastAsia="仿宋"/>
                <w:bCs/>
                <w:sz w:val="18"/>
                <w:szCs w:val="18"/>
              </w:rPr>
              <w:t>.</w:t>
            </w:r>
            <w:r>
              <w:rPr>
                <w:rFonts w:eastAsia="仿宋"/>
                <w:bCs/>
                <w:sz w:val="18"/>
                <w:szCs w:val="18"/>
              </w:rPr>
              <w:t xml:space="preserve"> </w:t>
            </w:r>
            <w:r>
              <w:rPr>
                <w:rFonts w:hint="eastAsia" w:eastAsia="仿宋"/>
                <w:bCs/>
                <w:sz w:val="18"/>
                <w:szCs w:val="18"/>
              </w:rPr>
              <w:t>省级数据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single" w:color="auto" w:sz="4" w:space="0"/>
              <w:bottom w:val="nil"/>
              <w:right w:val="nil"/>
            </w:tcBorders>
            <w:shd w:val="clear" w:color="auto" w:fill="auto"/>
            <w:vAlign w:val="center"/>
          </w:tcPr>
          <w:p>
            <w:pPr>
              <w:autoSpaceDE w:val="0"/>
              <w:autoSpaceDN w:val="0"/>
              <w:adjustRightInd w:val="0"/>
              <w:snapToGrid w:val="0"/>
              <w:spacing w:line="220" w:lineRule="exact"/>
              <w:rPr>
                <w:rFonts w:eastAsia="仿宋"/>
                <w:sz w:val="18"/>
                <w:szCs w:val="18"/>
              </w:rPr>
            </w:pPr>
            <w:r>
              <w:rPr>
                <w:rFonts w:eastAsia="仿宋"/>
                <w:i/>
                <w:sz w:val="18"/>
                <w:szCs w:val="18"/>
              </w:rPr>
              <w:t>Pressure</w:t>
            </w:r>
          </w:p>
        </w:tc>
        <w:tc>
          <w:tcPr>
            <w:tcW w:w="523"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0.129</w:t>
            </w:r>
          </w:p>
        </w:tc>
        <w:tc>
          <w:tcPr>
            <w:tcW w:w="707"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0.873</w:t>
            </w:r>
          </w:p>
        </w:tc>
        <w:tc>
          <w:tcPr>
            <w:tcW w:w="606" w:type="pct"/>
            <w:gridSpan w:val="2"/>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c>
          <w:tcPr>
            <w:tcW w:w="606"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705" w:type="pct"/>
            <w:tcBorders>
              <w:top w:val="single" w:color="auto" w:sz="4" w:space="0"/>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sz w:val="18"/>
                <w:szCs w:val="18"/>
              </w:rPr>
            </w:pPr>
            <w:r>
              <w:rPr>
                <w:rFonts w:eastAsia="仿宋"/>
                <w:i/>
                <w:sz w:val="18"/>
                <w:szCs w:val="18"/>
              </w:rPr>
              <w:t>Pressure2</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0.452</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0.499</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sz w:val="18"/>
                <w:szCs w:val="18"/>
              </w:rPr>
            </w:pPr>
            <w:r>
              <w:rPr>
                <w:rFonts w:eastAsia="仿宋"/>
                <w:i/>
                <w:sz w:val="18"/>
                <w:szCs w:val="18"/>
              </w:rPr>
              <w:t>Pressure</w:t>
            </w:r>
            <w:r>
              <w:rPr>
                <w:rFonts w:hint="eastAsia" w:eastAsia="仿宋"/>
                <w:i/>
                <w:sz w:val="18"/>
                <w:szCs w:val="18"/>
              </w:rPr>
              <w:t>3</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0.597</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sz w:val="18"/>
                <w:szCs w:val="18"/>
              </w:rPr>
            </w:pPr>
            <w:r>
              <w:rPr>
                <w:rFonts w:eastAsia="仿宋"/>
                <w:i/>
                <w:sz w:val="18"/>
                <w:szCs w:val="18"/>
              </w:rPr>
              <w:t>Pressure</w:t>
            </w:r>
            <w:r>
              <w:rPr>
                <w:rFonts w:hint="eastAsia" w:eastAsia="仿宋"/>
                <w:i/>
                <w:sz w:val="18"/>
                <w:szCs w:val="18"/>
              </w:rPr>
              <w:t>4</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0.070</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3.834</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i/>
                <w:sz w:val="18"/>
                <w:szCs w:val="18"/>
              </w:rPr>
              <w:t>Pressure5</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-0.011</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1.003</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i/>
                <w:sz w:val="18"/>
                <w:szCs w:val="18"/>
              </w:rPr>
              <w:t>PGDP_high</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0.484</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0.501</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sz w:val="18"/>
                <w:szCs w:val="18"/>
              </w:rPr>
              <w:t>ln(</w:t>
            </w:r>
            <w:r>
              <w:rPr>
                <w:rFonts w:eastAsia="仿宋"/>
                <w:i/>
                <w:iCs/>
                <w:sz w:val="18"/>
                <w:szCs w:val="18"/>
              </w:rPr>
              <w:t>GDP</w:t>
            </w:r>
            <w:r>
              <w:rPr>
                <w:rFonts w:eastAsia="仿宋"/>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9.496</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0.984</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6.229</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9.661</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sz w:val="18"/>
                <w:szCs w:val="18"/>
              </w:rPr>
              <w:t>ln(</w:t>
            </w:r>
            <w:r>
              <w:rPr>
                <w:rFonts w:eastAsia="仿宋"/>
                <w:i/>
                <w:iCs/>
                <w:sz w:val="18"/>
                <w:szCs w:val="18"/>
              </w:rPr>
              <w:t>population</w:t>
            </w:r>
            <w:r>
              <w:rPr>
                <w:rFonts w:eastAsia="仿宋"/>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8.109</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0.846</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5.704</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8.239</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9.260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i/>
                <w:iCs/>
                <w:sz w:val="18"/>
                <w:szCs w:val="18"/>
              </w:rPr>
              <w:t>(Secondary/GDP)</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64.040</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20.350</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27.890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61.61</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125.1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i/>
                <w:iCs/>
                <w:sz w:val="18"/>
                <w:szCs w:val="18"/>
              </w:rPr>
              <w:t>Growth</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10.610</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2.563</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5.600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10.300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17.400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sz w:val="18"/>
                <w:szCs w:val="18"/>
              </w:rPr>
              <w:t>ln(</w:t>
            </w:r>
            <w:r>
              <w:rPr>
                <w:rFonts w:eastAsia="仿宋"/>
                <w:i/>
                <w:iCs/>
                <w:sz w:val="18"/>
                <w:szCs w:val="18"/>
              </w:rPr>
              <w:t xml:space="preserve">R&amp;D </w:t>
            </w:r>
            <w:r>
              <w:rPr>
                <w:rFonts w:hint="eastAsia" w:eastAsia="仿宋"/>
                <w:i/>
                <w:iCs/>
                <w:sz w:val="18"/>
                <w:szCs w:val="18"/>
              </w:rPr>
              <w:t>personnel</w:t>
            </w:r>
            <w:r>
              <w:rPr>
                <w:rFonts w:eastAsia="仿宋"/>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186</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4.014</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1.330</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0.078</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4.242</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6.212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sz w:val="18"/>
                <w:szCs w:val="18"/>
              </w:rPr>
              <w:t>ln(</w:t>
            </w:r>
            <w:r>
              <w:rPr>
                <w:rFonts w:hint="eastAsia" w:eastAsia="仿宋"/>
                <w:i/>
                <w:iCs/>
                <w:sz w:val="18"/>
                <w:szCs w:val="18"/>
              </w:rPr>
              <w:t>invest</w:t>
            </w:r>
            <w:r>
              <w:rPr>
                <w:rFonts w:eastAsia="仿宋"/>
                <w:i/>
                <w:iCs/>
                <w:sz w:val="18"/>
                <w:szCs w:val="18"/>
              </w:rPr>
              <w:t>_all</w:t>
            </w:r>
            <w:r>
              <w:rPr>
                <w:rFonts w:eastAsia="仿宋"/>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8.899</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0.970</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5.195</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9.020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10.450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sz w:val="18"/>
                <w:szCs w:val="18"/>
              </w:rPr>
              <w:t>ln(</w:t>
            </w:r>
            <w:r>
              <w:rPr>
                <w:rFonts w:hint="eastAsia" w:eastAsia="仿宋"/>
                <w:i/>
                <w:iCs/>
                <w:sz w:val="18"/>
                <w:szCs w:val="18"/>
              </w:rPr>
              <w:t>invest</w:t>
            </w:r>
            <w:r>
              <w:rPr>
                <w:rFonts w:eastAsia="仿宋"/>
                <w:i/>
                <w:iCs/>
                <w:sz w:val="18"/>
                <w:szCs w:val="18"/>
              </w:rPr>
              <w:t>_SOEs</w:t>
            </w:r>
            <w:r>
              <w:rPr>
                <w:rFonts w:eastAsia="仿宋"/>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8.255</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0.827</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5.083</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8.460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9.218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sz w:val="18"/>
                <w:szCs w:val="18"/>
              </w:rPr>
              <w:t>ln(</w:t>
            </w:r>
            <w:r>
              <w:rPr>
                <w:rFonts w:hint="eastAsia" w:eastAsia="仿宋"/>
                <w:i/>
                <w:iCs/>
                <w:sz w:val="18"/>
                <w:szCs w:val="18"/>
              </w:rPr>
              <w:t>invest</w:t>
            </w:r>
            <w:r>
              <w:rPr>
                <w:rFonts w:eastAsia="仿宋"/>
                <w:i/>
                <w:iCs/>
                <w:sz w:val="18"/>
                <w:szCs w:val="18"/>
              </w:rPr>
              <w:t>_POEs</w:t>
            </w:r>
            <w:r>
              <w:rPr>
                <w:rFonts w:eastAsia="仿宋"/>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6.823</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1.655</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0.859</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7.021</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9.191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i/>
                <w:iCs/>
                <w:sz w:val="18"/>
                <w:szCs w:val="18"/>
              </w:rPr>
              <w:t>CP1</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103.30</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1.262</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101.5</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102.9</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sz w:val="18"/>
                <w:szCs w:val="18"/>
              </w:rPr>
              <w:t>ln(</w:t>
            </w:r>
            <w:r>
              <w:rPr>
                <w:rFonts w:eastAsia="仿宋"/>
                <w:i/>
                <w:iCs/>
                <w:sz w:val="18"/>
                <w:szCs w:val="18"/>
              </w:rPr>
              <w:t>wages</w:t>
            </w:r>
            <w:r>
              <w:rPr>
                <w:rFonts w:eastAsia="仿宋"/>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10.700</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0.257</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10.250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10.700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11.540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i/>
                <w:iCs/>
                <w:sz w:val="18"/>
                <w:szCs w:val="18"/>
              </w:rPr>
              <w:t>Fiscal_gap</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7.111</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0.599</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5.476</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7.227</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8.142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i/>
                <w:iCs/>
                <w:sz w:val="18"/>
                <w:szCs w:val="18"/>
              </w:rPr>
              <w:t>(Secondary/population)</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152</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0.259</w:t>
            </w:r>
          </w:p>
        </w:tc>
        <w:tc>
          <w:tcPr>
            <w:tcW w:w="70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0.101</w:t>
            </w:r>
          </w:p>
        </w:tc>
        <w:tc>
          <w:tcPr>
            <w:tcW w:w="606"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0.109</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0.243</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0.497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single" w:color="auto" w:sz="4" w:space="0"/>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sz w:val="18"/>
                <w:szCs w:val="18"/>
              </w:rPr>
              <w:t>ln(</w:t>
            </w:r>
            <w:r>
              <w:rPr>
                <w:rFonts w:hint="eastAsia" w:eastAsia="仿宋"/>
                <w:i/>
                <w:iCs/>
                <w:sz w:val="18"/>
                <w:szCs w:val="18"/>
              </w:rPr>
              <w:t>employed</w:t>
            </w:r>
            <w:r>
              <w:rPr>
                <w:rFonts w:eastAsia="仿宋"/>
                <w:i/>
                <w:iCs/>
                <w:sz w:val="18"/>
                <w:szCs w:val="18"/>
              </w:rPr>
              <w:t xml:space="preserve"> </w:t>
            </w:r>
            <w:r>
              <w:rPr>
                <w:rFonts w:hint="eastAsia" w:eastAsia="仿宋"/>
                <w:i/>
                <w:iCs/>
                <w:sz w:val="18"/>
                <w:szCs w:val="18"/>
              </w:rPr>
              <w:t>population</w:t>
            </w:r>
            <w:r>
              <w:rPr>
                <w:rFonts w:eastAsia="仿宋"/>
                <w:sz w:val="18"/>
                <w:szCs w:val="18"/>
              </w:rPr>
              <w:t>)</w:t>
            </w:r>
          </w:p>
        </w:tc>
        <w:tc>
          <w:tcPr>
            <w:tcW w:w="523" w:type="pct"/>
            <w:tcBorders>
              <w:top w:val="nil"/>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152</w:t>
            </w:r>
          </w:p>
        </w:tc>
        <w:tc>
          <w:tcPr>
            <w:tcW w:w="487" w:type="pct"/>
            <w:tcBorders>
              <w:top w:val="nil"/>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5.933</w:t>
            </w:r>
          </w:p>
        </w:tc>
        <w:tc>
          <w:tcPr>
            <w:tcW w:w="707" w:type="pct"/>
            <w:tcBorders>
              <w:top w:val="nil"/>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0.903</w:t>
            </w:r>
          </w:p>
        </w:tc>
        <w:tc>
          <w:tcPr>
            <w:tcW w:w="606" w:type="pct"/>
            <w:gridSpan w:val="2"/>
            <w:tcBorders>
              <w:top w:val="nil"/>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3.100</w:t>
            </w:r>
          </w:p>
        </w:tc>
        <w:tc>
          <w:tcPr>
            <w:tcW w:w="606" w:type="pct"/>
            <w:tcBorders>
              <w:top w:val="nil"/>
              <w:left w:val="nil"/>
              <w:bottom w:val="single" w:color="auto" w:sz="4"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6.069</w:t>
            </w:r>
          </w:p>
        </w:tc>
        <w:tc>
          <w:tcPr>
            <w:tcW w:w="705" w:type="pct"/>
            <w:tcBorders>
              <w:top w:val="nil"/>
              <w:left w:val="nil"/>
              <w:bottom w:val="single" w:color="auto" w:sz="4" w:space="0"/>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7.587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5000" w:type="pct"/>
            <w:gridSpan w:val="8"/>
            <w:tcBorders>
              <w:top w:val="single" w:color="auto" w:sz="4" w:space="0"/>
              <w:bottom w:val="single" w:color="auto" w:sz="4" w:space="0"/>
            </w:tcBorders>
            <w:shd w:val="clear" w:color="auto" w:fill="auto"/>
            <w:vAlign w:val="center"/>
          </w:tcPr>
          <w:p>
            <w:pPr>
              <w:autoSpaceDE w:val="0"/>
              <w:autoSpaceDN w:val="0"/>
              <w:adjustRightInd w:val="0"/>
              <w:snapToGrid w:val="0"/>
              <w:spacing w:line="220" w:lineRule="exact"/>
              <w:rPr>
                <w:rFonts w:eastAsia="仿宋"/>
                <w:bCs/>
                <w:sz w:val="18"/>
                <w:szCs w:val="18"/>
                <w:vertAlign w:val="superscript"/>
              </w:rPr>
            </w:pPr>
            <w:r>
              <w:rPr>
                <w:rFonts w:eastAsia="仿宋"/>
                <w:bCs/>
                <w:sz w:val="18"/>
                <w:szCs w:val="18"/>
              </w:rPr>
              <w:t>Panel C</w:t>
            </w:r>
            <w:r>
              <w:rPr>
                <w:rFonts w:hint="eastAsia" w:eastAsia="仿宋"/>
                <w:bCs/>
                <w:sz w:val="18"/>
                <w:szCs w:val="18"/>
              </w:rPr>
              <w:t>.</w:t>
            </w:r>
            <w:r>
              <w:rPr>
                <w:rFonts w:eastAsia="仿宋"/>
                <w:bCs/>
                <w:sz w:val="18"/>
                <w:szCs w:val="18"/>
              </w:rPr>
              <w:t xml:space="preserve"> </w:t>
            </w:r>
            <w:r>
              <w:rPr>
                <w:rFonts w:hint="eastAsia" w:eastAsia="仿宋"/>
                <w:bCs/>
                <w:sz w:val="18"/>
                <w:szCs w:val="18"/>
              </w:rPr>
              <w:t>贷款数据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single" w:color="auto" w:sz="4" w:space="0"/>
              <w:bottom w:val="nil"/>
              <w:right w:val="nil"/>
            </w:tcBorders>
            <w:shd w:val="clear" w:color="auto" w:fill="auto"/>
            <w:vAlign w:val="center"/>
          </w:tcPr>
          <w:p>
            <w:pPr>
              <w:autoSpaceDE w:val="0"/>
              <w:autoSpaceDN w:val="0"/>
              <w:adjustRightInd w:val="0"/>
              <w:snapToGrid w:val="0"/>
              <w:spacing w:line="220" w:lineRule="exact"/>
              <w:rPr>
                <w:rFonts w:eastAsia="仿宋"/>
                <w:i/>
                <w:iCs/>
                <w:sz w:val="18"/>
                <w:szCs w:val="18"/>
              </w:rPr>
            </w:pPr>
            <w:r>
              <w:rPr>
                <w:rFonts w:eastAsia="仿宋"/>
                <w:sz w:val="18"/>
                <w:szCs w:val="18"/>
              </w:rPr>
              <w:t>ln(</w:t>
            </w:r>
            <w:r>
              <w:rPr>
                <w:rFonts w:eastAsia="仿宋"/>
                <w:i/>
                <w:iCs/>
                <w:sz w:val="18"/>
                <w:szCs w:val="18"/>
              </w:rPr>
              <w:t>assets</w:t>
            </w:r>
            <w:r>
              <w:rPr>
                <w:rFonts w:eastAsia="仿宋"/>
                <w:sz w:val="18"/>
                <w:szCs w:val="18"/>
              </w:rPr>
              <w:t>)</w:t>
            </w:r>
          </w:p>
        </w:tc>
        <w:tc>
          <w:tcPr>
            <w:tcW w:w="523"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15598</w:t>
            </w:r>
          </w:p>
        </w:tc>
        <w:tc>
          <w:tcPr>
            <w:tcW w:w="487"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22.290</w:t>
            </w:r>
          </w:p>
        </w:tc>
        <w:tc>
          <w:tcPr>
            <w:tcW w:w="720" w:type="pct"/>
            <w:gridSpan w:val="2"/>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1.189</w:t>
            </w:r>
          </w:p>
        </w:tc>
        <w:tc>
          <w:tcPr>
            <w:tcW w:w="593"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16.520</w:t>
            </w:r>
          </w:p>
        </w:tc>
        <w:tc>
          <w:tcPr>
            <w:tcW w:w="606" w:type="pct"/>
            <w:tcBorders>
              <w:top w:val="single" w:color="auto" w:sz="4" w:space="0"/>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22.170</w:t>
            </w:r>
          </w:p>
        </w:tc>
        <w:tc>
          <w:tcPr>
            <w:tcW w:w="705" w:type="pct"/>
            <w:tcBorders>
              <w:top w:val="single" w:color="auto" w:sz="4" w:space="0"/>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29.020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iCs/>
                <w:sz w:val="18"/>
                <w:szCs w:val="18"/>
              </w:rPr>
            </w:pPr>
            <w:r>
              <w:rPr>
                <w:rFonts w:eastAsia="仿宋"/>
                <w:i/>
                <w:iCs/>
                <w:sz w:val="18"/>
                <w:szCs w:val="18"/>
              </w:rPr>
              <w:t>Leverage</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15598</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0.543</w:t>
            </w:r>
          </w:p>
        </w:tc>
        <w:tc>
          <w:tcPr>
            <w:tcW w:w="720"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0.214</w:t>
            </w:r>
          </w:p>
        </w:tc>
        <w:tc>
          <w:tcPr>
            <w:tcW w:w="59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0.007</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0.549</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8.256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iCs/>
                <w:sz w:val="18"/>
                <w:szCs w:val="18"/>
              </w:rPr>
            </w:pPr>
            <w:r>
              <w:rPr>
                <w:rFonts w:eastAsia="仿宋"/>
                <w:i/>
                <w:iCs/>
                <w:sz w:val="18"/>
                <w:szCs w:val="18"/>
              </w:rPr>
              <w:t>Tobin’s Q</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15598</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1.754</w:t>
            </w:r>
          </w:p>
        </w:tc>
        <w:tc>
          <w:tcPr>
            <w:tcW w:w="720"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2.039</w:t>
            </w:r>
          </w:p>
        </w:tc>
        <w:tc>
          <w:tcPr>
            <w:tcW w:w="59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0.049</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1.194</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65.470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iCs/>
                <w:sz w:val="18"/>
                <w:szCs w:val="18"/>
              </w:rPr>
            </w:pPr>
            <w:r>
              <w:rPr>
                <w:rFonts w:eastAsia="仿宋"/>
                <w:i/>
                <w:iCs/>
                <w:sz w:val="18"/>
                <w:szCs w:val="18"/>
              </w:rPr>
              <w:t>Tangibility</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15598</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0.426</w:t>
            </w:r>
          </w:p>
        </w:tc>
        <w:tc>
          <w:tcPr>
            <w:tcW w:w="720"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0.181</w:t>
            </w:r>
          </w:p>
        </w:tc>
        <w:tc>
          <w:tcPr>
            <w:tcW w:w="59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0.418</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0.962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iCs/>
                <w:sz w:val="18"/>
                <w:szCs w:val="18"/>
              </w:rPr>
            </w:pPr>
            <w:r>
              <w:rPr>
                <w:rFonts w:eastAsia="仿宋"/>
                <w:i/>
                <w:iCs/>
                <w:sz w:val="18"/>
                <w:szCs w:val="18"/>
              </w:rPr>
              <w:t>ROA</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15598</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0.034</w:t>
            </w:r>
          </w:p>
        </w:tc>
        <w:tc>
          <w:tcPr>
            <w:tcW w:w="720"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0.062</w:t>
            </w:r>
          </w:p>
        </w:tc>
        <w:tc>
          <w:tcPr>
            <w:tcW w:w="59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-0.959</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0.029</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2.933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iCs/>
                <w:sz w:val="18"/>
                <w:szCs w:val="18"/>
              </w:rPr>
            </w:pPr>
            <w:r>
              <w:rPr>
                <w:rFonts w:eastAsia="仿宋"/>
                <w:i/>
                <w:iCs/>
                <w:sz w:val="18"/>
                <w:szCs w:val="18"/>
              </w:rPr>
              <w:t>ROA volatility</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15598</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0.028</w:t>
            </w:r>
          </w:p>
        </w:tc>
        <w:tc>
          <w:tcPr>
            <w:tcW w:w="720"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0.395</w:t>
            </w:r>
          </w:p>
        </w:tc>
        <w:tc>
          <w:tcPr>
            <w:tcW w:w="59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0.011</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24.230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iCs/>
                <w:sz w:val="18"/>
                <w:szCs w:val="18"/>
              </w:rPr>
            </w:pPr>
            <w:r>
              <w:rPr>
                <w:rFonts w:eastAsia="仿宋"/>
                <w:sz w:val="18"/>
                <w:szCs w:val="18"/>
                <w:lang w:val="de-DE"/>
              </w:rPr>
              <w:t>ln(</w:t>
            </w:r>
            <w:r>
              <w:rPr>
                <w:rFonts w:eastAsia="仿宋"/>
                <w:i/>
                <w:iCs/>
                <w:sz w:val="18"/>
                <w:szCs w:val="18"/>
                <w:lang w:val="de-DE"/>
              </w:rPr>
              <w:t>bank’s assets</w:t>
            </w:r>
            <w:r>
              <w:rPr>
                <w:rFonts w:eastAsia="仿宋"/>
                <w:sz w:val="18"/>
                <w:szCs w:val="18"/>
                <w:lang w:val="de-DE"/>
              </w:rPr>
              <w:t>)</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14188</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28.870</w:t>
            </w:r>
          </w:p>
        </w:tc>
        <w:tc>
          <w:tcPr>
            <w:tcW w:w="720"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1.472</w:t>
            </w:r>
          </w:p>
        </w:tc>
        <w:tc>
          <w:tcPr>
            <w:tcW w:w="59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29.020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30.730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i/>
                <w:iCs/>
                <w:sz w:val="18"/>
                <w:szCs w:val="18"/>
              </w:rPr>
            </w:pPr>
            <w:r>
              <w:rPr>
                <w:rFonts w:eastAsia="仿宋"/>
                <w:i/>
                <w:iCs/>
                <w:sz w:val="18"/>
                <w:szCs w:val="18"/>
              </w:rPr>
              <w:t>Ca ratio</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14188</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12.410</w:t>
            </w:r>
          </w:p>
        </w:tc>
        <w:tc>
          <w:tcPr>
            <w:tcW w:w="720"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1.492</w:t>
            </w:r>
          </w:p>
        </w:tc>
        <w:tc>
          <w:tcPr>
            <w:tcW w:w="59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8.840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12.330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39.160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nil"/>
              <w:right w:val="nil"/>
            </w:tcBorders>
            <w:shd w:val="clear" w:color="auto" w:fill="auto"/>
            <w:vAlign w:val="center"/>
          </w:tcPr>
          <w:p>
            <w:pPr>
              <w:autoSpaceDE w:val="0"/>
              <w:autoSpaceDN w:val="0"/>
              <w:adjustRightInd w:val="0"/>
              <w:snapToGrid w:val="0"/>
              <w:spacing w:line="220" w:lineRule="exact"/>
              <w:rPr>
                <w:rFonts w:eastAsia="仿宋"/>
                <w:sz w:val="18"/>
                <w:szCs w:val="18"/>
              </w:rPr>
            </w:pPr>
            <w:r>
              <w:rPr>
                <w:rFonts w:eastAsia="仿宋"/>
                <w:i/>
                <w:iCs/>
                <w:sz w:val="18"/>
                <w:szCs w:val="18"/>
              </w:rPr>
              <w:t>N</w:t>
            </w:r>
            <w:r>
              <w:rPr>
                <w:rFonts w:hint="eastAsia" w:eastAsia="仿宋"/>
                <w:i/>
                <w:iCs/>
                <w:sz w:val="18"/>
                <w:szCs w:val="18"/>
              </w:rPr>
              <w:t>p</w:t>
            </w:r>
            <w:r>
              <w:rPr>
                <w:rFonts w:eastAsia="仿宋"/>
                <w:i/>
                <w:iCs/>
                <w:sz w:val="18"/>
                <w:szCs w:val="18"/>
              </w:rPr>
              <w:t xml:space="preserve"> ratio</w:t>
            </w:r>
          </w:p>
        </w:tc>
        <w:tc>
          <w:tcPr>
            <w:tcW w:w="52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14188</w:t>
            </w:r>
          </w:p>
        </w:tc>
        <w:tc>
          <w:tcPr>
            <w:tcW w:w="487"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1.002</w:t>
            </w:r>
          </w:p>
        </w:tc>
        <w:tc>
          <w:tcPr>
            <w:tcW w:w="720" w:type="pct"/>
            <w:gridSpan w:val="2"/>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0.374</w:t>
            </w:r>
          </w:p>
        </w:tc>
        <w:tc>
          <w:tcPr>
            <w:tcW w:w="593"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0.020</w:t>
            </w:r>
          </w:p>
        </w:tc>
        <w:tc>
          <w:tcPr>
            <w:tcW w:w="606" w:type="pct"/>
            <w:tcBorders>
              <w:top w:val="nil"/>
              <w:left w:val="nil"/>
              <w:bottom w:val="nil"/>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0.960</w:t>
            </w:r>
          </w:p>
        </w:tc>
        <w:tc>
          <w:tcPr>
            <w:tcW w:w="705" w:type="pct"/>
            <w:tcBorders>
              <w:top w:val="nil"/>
              <w:left w:val="nil"/>
              <w:bottom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4.890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5" w:type="dxa"/>
            <w:bottom w:w="0" w:type="dxa"/>
            <w:right w:w="75" w:type="dxa"/>
          </w:tblCellMar>
        </w:tblPrEx>
        <w:trPr>
          <w:trHeight w:val="20" w:hRule="atLeast"/>
          <w:jc w:val="center"/>
        </w:trPr>
        <w:tc>
          <w:tcPr>
            <w:tcW w:w="1366" w:type="pct"/>
            <w:tcBorders>
              <w:top w:val="nil"/>
              <w:bottom w:val="single" w:color="auto" w:sz="8" w:space="0"/>
              <w:right w:val="nil"/>
            </w:tcBorders>
            <w:shd w:val="clear" w:color="auto" w:fill="auto"/>
            <w:vAlign w:val="center"/>
          </w:tcPr>
          <w:p>
            <w:pPr>
              <w:autoSpaceDE w:val="0"/>
              <w:autoSpaceDN w:val="0"/>
              <w:adjustRightInd w:val="0"/>
              <w:snapToGrid w:val="0"/>
              <w:spacing w:line="220" w:lineRule="exact"/>
              <w:rPr>
                <w:rFonts w:eastAsia="仿宋"/>
                <w:i/>
                <w:sz w:val="18"/>
                <w:szCs w:val="18"/>
              </w:rPr>
            </w:pPr>
            <w:r>
              <w:rPr>
                <w:rFonts w:eastAsia="仿宋"/>
                <w:i/>
                <w:iCs/>
                <w:sz w:val="18"/>
                <w:szCs w:val="18"/>
              </w:rPr>
              <w:t>P</w:t>
            </w:r>
            <w:r>
              <w:rPr>
                <w:rFonts w:hint="eastAsia" w:eastAsia="仿宋"/>
                <w:i/>
                <w:iCs/>
                <w:sz w:val="18"/>
                <w:szCs w:val="18"/>
              </w:rPr>
              <w:t>c</w:t>
            </w:r>
            <w:r>
              <w:rPr>
                <w:rFonts w:eastAsia="仿宋"/>
                <w:i/>
                <w:iCs/>
                <w:sz w:val="18"/>
                <w:szCs w:val="18"/>
              </w:rPr>
              <w:t xml:space="preserve"> ratio</w:t>
            </w:r>
          </w:p>
        </w:tc>
        <w:tc>
          <w:tcPr>
            <w:tcW w:w="523" w:type="pct"/>
            <w:tcBorders>
              <w:top w:val="nil"/>
              <w:left w:val="nil"/>
              <w:bottom w:val="single" w:color="auto" w:sz="8"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14188</w:t>
            </w:r>
          </w:p>
        </w:tc>
        <w:tc>
          <w:tcPr>
            <w:tcW w:w="487" w:type="pct"/>
            <w:tcBorders>
              <w:top w:val="nil"/>
              <w:left w:val="nil"/>
              <w:bottom w:val="single" w:color="auto" w:sz="8"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282.3</w:t>
            </w:r>
          </w:p>
        </w:tc>
        <w:tc>
          <w:tcPr>
            <w:tcW w:w="720" w:type="pct"/>
            <w:gridSpan w:val="2"/>
            <w:tcBorders>
              <w:top w:val="nil"/>
              <w:left w:val="nil"/>
              <w:bottom w:val="single" w:color="auto" w:sz="8"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220.6</w:t>
            </w:r>
          </w:p>
        </w:tc>
        <w:tc>
          <w:tcPr>
            <w:tcW w:w="593" w:type="pct"/>
            <w:tcBorders>
              <w:top w:val="nil"/>
              <w:left w:val="nil"/>
              <w:bottom w:val="single" w:color="auto" w:sz="8"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100.0</w:t>
            </w:r>
          </w:p>
        </w:tc>
        <w:tc>
          <w:tcPr>
            <w:tcW w:w="606" w:type="pct"/>
            <w:tcBorders>
              <w:top w:val="nil"/>
              <w:left w:val="nil"/>
              <w:bottom w:val="single" w:color="auto" w:sz="8" w:space="0"/>
              <w:right w:val="nil"/>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257.2</w:t>
            </w:r>
          </w:p>
        </w:tc>
        <w:tc>
          <w:tcPr>
            <w:tcW w:w="705" w:type="pct"/>
            <w:tcBorders>
              <w:top w:val="nil"/>
              <w:left w:val="nil"/>
              <w:bottom w:val="single" w:color="auto" w:sz="8" w:space="0"/>
            </w:tcBorders>
            <w:shd w:val="clear" w:color="auto" w:fill="auto"/>
            <w:vAlign w:val="center"/>
          </w:tcPr>
          <w:p>
            <w:pPr>
              <w:autoSpaceDE w:val="0"/>
              <w:autoSpaceDN w:val="0"/>
              <w:adjustRightInd w:val="0"/>
              <w:snapToGrid w:val="0"/>
              <w:spacing w:line="220" w:lineRule="exact"/>
              <w:jc w:val="center"/>
              <w:rPr>
                <w:rFonts w:eastAsia="仿宋"/>
                <w:sz w:val="18"/>
                <w:szCs w:val="18"/>
              </w:rPr>
            </w:pPr>
            <w:r>
              <w:rPr>
                <w:rFonts w:eastAsia="等线"/>
                <w:sz w:val="18"/>
                <w:szCs w:val="18"/>
              </w:rPr>
              <w:t>6321</w:t>
            </w:r>
          </w:p>
        </w:tc>
      </w:tr>
    </w:tbl>
    <w:p>
      <w:pPr>
        <w:pStyle w:val="2"/>
        <w:rPr>
          <w:rFonts w:eastAsia="楷体"/>
          <w:b w:val="0"/>
          <w:kern w:val="2"/>
          <w:sz w:val="28"/>
          <w:szCs w:val="28"/>
        </w:rPr>
      </w:pPr>
      <w:bookmarkStart w:id="3" w:name="_Toc164957359"/>
      <w:r>
        <w:rPr>
          <w:rFonts w:eastAsia="楷体"/>
          <w:b w:val="0"/>
          <w:kern w:val="2"/>
          <w:sz w:val="28"/>
          <w:szCs w:val="28"/>
        </w:rPr>
        <w:t>附录I</w:t>
      </w:r>
      <w:r>
        <w:rPr>
          <w:rFonts w:hint="eastAsia" w:eastAsia="楷体"/>
          <w:b w:val="0"/>
          <w:kern w:val="2"/>
          <w:sz w:val="28"/>
          <w:szCs w:val="28"/>
        </w:rPr>
        <w:t>I  稳就业压力与创业活力</w:t>
      </w:r>
      <w:bookmarkEnd w:id="3"/>
    </w:p>
    <w:p>
      <w:pPr>
        <w:pStyle w:val="17"/>
        <w:spacing w:before="0" w:beforeLines="0" w:after="0" w:afterLines="0"/>
        <w:ind w:firstLine="420" w:firstLineChars="200"/>
        <w:jc w:val="both"/>
        <w:rPr>
          <w:rFonts w:eastAsia="仿宋"/>
          <w:szCs w:val="22"/>
        </w:rPr>
      </w:pPr>
      <w:r>
        <w:rPr>
          <w:rFonts w:hint="eastAsia" w:eastAsia="仿宋"/>
          <w:szCs w:val="22"/>
        </w:rPr>
        <w:t>为考察不同地区的“稳就业”压力对当地创业活动的影响，本文还区分不同地区进行分组回归，结果报告在附表II1中。其中，在欠发达地区的分组回归中，所有规模以上工业企业与国有工业企业的投资规模均与新设立民营企业的注册资本占比显著负相关，并且在加入上述变量后，</w:t>
      </w:r>
      <w:r>
        <w:rPr>
          <w:rFonts w:hint="eastAsia" w:eastAsia="仿宋"/>
          <w:i/>
          <w:iCs/>
          <w:szCs w:val="22"/>
        </w:rPr>
        <w:t>Pressure</w:t>
      </w:r>
      <w:r>
        <w:rPr>
          <w:rFonts w:hint="eastAsia" w:eastAsia="仿宋"/>
          <w:szCs w:val="22"/>
        </w:rPr>
        <w:t>回归系数的显著性明显下降（第1-4列）。这暗示着，在欠发达地区部分省份的“稳就业”压力较大时，当地的规模以上工业企业、尤其是国有工业企业的投资很可能会对当地的创业活力产生负面影响。与此同时，在发达地区，若上一年某省的就业率排名退步，则该省当年新设立民营企业的注册资本占比显著上升，并且各类规模以上工业企业的投资并未抑制当地的创业活力（第5-8列）。</w:t>
      </w:r>
    </w:p>
    <w:p>
      <w:pPr>
        <w:pStyle w:val="17"/>
        <w:spacing w:before="0" w:beforeLines="0" w:after="0" w:afterLines="0"/>
        <w:ind w:firstLine="420" w:firstLineChars="200"/>
        <w:jc w:val="both"/>
      </w:pPr>
    </w:p>
    <w:p>
      <w:pPr>
        <w:pStyle w:val="17"/>
        <w:spacing w:before="0" w:beforeLines="0" w:after="0" w:afterLines="0"/>
        <w:ind w:firstLine="420"/>
      </w:pPr>
    </w:p>
    <w:p>
      <w:pPr>
        <w:pStyle w:val="17"/>
        <w:spacing w:before="0" w:beforeLines="0" w:after="0" w:afterLines="0"/>
        <w:ind w:firstLine="420"/>
        <w:rPr>
          <w:rFonts w:hint="eastAsia" w:ascii="宋体" w:hAnsi="宋体" w:eastAsia="宋体" w:cs="宋体"/>
          <w:b/>
          <w:bCs/>
          <w:sz w:val="20"/>
          <w:szCs w:val="22"/>
        </w:rPr>
      </w:pPr>
      <w:r>
        <w:rPr>
          <w:rFonts w:hint="eastAsia" w:ascii="宋体" w:hAnsi="宋体" w:eastAsia="宋体" w:cs="宋体"/>
          <w:b/>
          <w:bCs/>
          <w:sz w:val="20"/>
          <w:szCs w:val="22"/>
        </w:rPr>
        <w:t>表II1  稳就业压力与创业活力：分组回归结果</w:t>
      </w:r>
    </w:p>
    <w:tbl>
      <w:tblPr>
        <w:tblStyle w:val="9"/>
        <w:tblW w:w="8843"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7"/>
        <w:gridCol w:w="907"/>
        <w:gridCol w:w="907"/>
        <w:gridCol w:w="907"/>
        <w:gridCol w:w="907"/>
        <w:gridCol w:w="907"/>
        <w:gridCol w:w="907"/>
        <w:gridCol w:w="907"/>
        <w:gridCol w:w="90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87" w:type="dxa"/>
            <w:vMerge w:val="restart"/>
            <w:tcBorders>
              <w:top w:val="single" w:color="auto" w:sz="8" w:space="0"/>
            </w:tcBorders>
            <w:shd w:val="clear" w:color="auto" w:fill="auto"/>
            <w:noWrap/>
            <w:vAlign w:val="center"/>
          </w:tcPr>
          <w:p>
            <w:pPr>
              <w:ind w:firstLine="360"/>
              <w:jc w:val="center"/>
              <w:rPr>
                <w:rFonts w:eastAsia="仿宋"/>
                <w:sz w:val="18"/>
                <w:szCs w:val="18"/>
              </w:rPr>
            </w:pPr>
            <w:r>
              <w:rPr>
                <w:rFonts w:hint="eastAsia" w:eastAsia="仿宋"/>
                <w:sz w:val="18"/>
                <w:szCs w:val="18"/>
              </w:rPr>
              <w:t>变量</w:t>
            </w:r>
          </w:p>
        </w:tc>
        <w:tc>
          <w:tcPr>
            <w:tcW w:w="7256" w:type="dxa"/>
            <w:gridSpan w:val="8"/>
            <w:tcBorders>
              <w:top w:val="single" w:color="auto" w:sz="8" w:space="0"/>
              <w:bottom w:val="single" w:color="auto" w:sz="4" w:space="0"/>
            </w:tcBorders>
            <w:shd w:val="clear" w:color="auto" w:fill="auto"/>
            <w:vAlign w:val="center"/>
          </w:tcPr>
          <w:p>
            <w:pPr>
              <w:widowControl/>
              <w:ind w:firstLine="360"/>
              <w:jc w:val="center"/>
              <w:rPr>
                <w:rFonts w:eastAsia="仿宋"/>
                <w:b/>
                <w:bCs/>
                <w:sz w:val="18"/>
                <w:szCs w:val="18"/>
              </w:rPr>
            </w:pPr>
            <w:r>
              <w:rPr>
                <w:rFonts w:eastAsia="仿宋"/>
                <w:i/>
                <w:iCs/>
                <w:sz w:val="18"/>
                <w:szCs w:val="18"/>
              </w:rPr>
              <w:t>S</w:t>
            </w:r>
            <w:r>
              <w:rPr>
                <w:rFonts w:hint="eastAsia" w:eastAsia="仿宋"/>
                <w:i/>
                <w:iCs/>
                <w:sz w:val="18"/>
                <w:szCs w:val="18"/>
              </w:rPr>
              <w:t>hare</w:t>
            </w:r>
            <w:r>
              <w:rPr>
                <w:rFonts w:eastAsia="仿宋"/>
                <w:i/>
                <w:iCs/>
                <w:sz w:val="18"/>
                <w:szCs w:val="18"/>
              </w:rPr>
              <w:t xml:space="preserve"> of </w:t>
            </w:r>
            <w:r>
              <w:rPr>
                <w:rFonts w:hint="eastAsia" w:eastAsia="仿宋"/>
                <w:i/>
                <w:iCs/>
                <w:sz w:val="18"/>
                <w:szCs w:val="18"/>
              </w:rPr>
              <w:t>capital</w:t>
            </w:r>
            <w:r>
              <w:rPr>
                <w:rFonts w:eastAsia="仿宋"/>
                <w:i/>
                <w:iCs/>
                <w:sz w:val="18"/>
                <w:szCs w:val="18"/>
              </w:rPr>
              <w:t xml:space="preserve"> </w:t>
            </w:r>
            <w:r>
              <w:rPr>
                <w:rFonts w:hint="eastAsia" w:eastAsia="仿宋"/>
                <w:i/>
                <w:iCs/>
                <w:sz w:val="18"/>
                <w:szCs w:val="18"/>
              </w:rPr>
              <w:t>of</w:t>
            </w:r>
            <w:r>
              <w:rPr>
                <w:rFonts w:eastAsia="仿宋"/>
                <w:i/>
                <w:iCs/>
                <w:sz w:val="18"/>
                <w:szCs w:val="18"/>
              </w:rPr>
              <w:t xml:space="preserve"> </w:t>
            </w:r>
            <w:r>
              <w:rPr>
                <w:rFonts w:hint="eastAsia" w:eastAsia="仿宋"/>
                <w:i/>
                <w:iCs/>
                <w:sz w:val="18"/>
                <w:szCs w:val="18"/>
              </w:rPr>
              <w:t>newly</w:t>
            </w:r>
            <w:r>
              <w:rPr>
                <w:rFonts w:eastAsia="仿宋"/>
                <w:i/>
                <w:iCs/>
                <w:sz w:val="18"/>
                <w:szCs w:val="18"/>
              </w:rPr>
              <w:t xml:space="preserve"> </w:t>
            </w:r>
            <w:r>
              <w:rPr>
                <w:rFonts w:hint="eastAsia" w:eastAsia="仿宋"/>
                <w:i/>
                <w:iCs/>
                <w:sz w:val="18"/>
                <w:szCs w:val="18"/>
              </w:rPr>
              <w:t>established</w:t>
            </w:r>
            <w:r>
              <w:rPr>
                <w:rFonts w:eastAsia="仿宋"/>
                <w:i/>
                <w:iCs/>
                <w:sz w:val="18"/>
                <w:szCs w:val="18"/>
              </w:rPr>
              <w:t xml:space="preserve"> POE</w:t>
            </w:r>
            <w:r>
              <w:rPr>
                <w:rFonts w:hint="eastAsia" w:eastAsia="仿宋"/>
                <w:i/>
                <w:iCs/>
                <w:sz w:val="18"/>
                <w:szCs w:val="18"/>
              </w:rPr>
              <w:t>s</w:t>
            </w:r>
            <w:r>
              <w:rPr>
                <w:rFonts w:eastAsia="仿宋"/>
                <w:i/>
                <w:iCs/>
                <w:sz w:val="18"/>
                <w:szCs w:val="18"/>
              </w:rPr>
              <w:t xml:space="preserve"> </w:t>
            </w:r>
            <w:r>
              <w:rPr>
                <w:rFonts w:hint="eastAsia" w:eastAsia="仿宋"/>
                <w:i/>
                <w:iCs/>
                <w:sz w:val="18"/>
                <w:szCs w:val="18"/>
                <w:vertAlign w:val="subscript"/>
              </w:rPr>
              <w:t>p</w:t>
            </w:r>
            <w:r>
              <w:rPr>
                <w:rFonts w:eastAsia="仿宋"/>
                <w:i/>
                <w:iCs/>
                <w:sz w:val="18"/>
                <w:szCs w:val="18"/>
                <w:vertAlign w:val="subscript"/>
              </w:rPr>
              <w:t>,t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87" w:type="dxa"/>
            <w:vMerge w:val="continue"/>
            <w:shd w:val="clear" w:color="auto" w:fill="auto"/>
            <w:noWrap/>
            <w:vAlign w:val="center"/>
          </w:tcPr>
          <w:p>
            <w:pPr>
              <w:widowControl/>
              <w:ind w:firstLine="360"/>
              <w:rPr>
                <w:rFonts w:eastAsia="仿宋"/>
                <w:sz w:val="18"/>
                <w:szCs w:val="18"/>
              </w:rPr>
            </w:pPr>
          </w:p>
        </w:tc>
        <w:tc>
          <w:tcPr>
            <w:tcW w:w="3628" w:type="dxa"/>
            <w:gridSpan w:val="4"/>
            <w:tcBorders>
              <w:top w:val="single" w:color="auto" w:sz="4" w:space="0"/>
              <w:bottom w:val="single" w:color="auto" w:sz="4" w:space="0"/>
            </w:tcBorders>
            <w:shd w:val="clear" w:color="auto" w:fill="auto"/>
            <w:noWrap/>
            <w:vAlign w:val="center"/>
          </w:tcPr>
          <w:p>
            <w:pPr>
              <w:widowControl/>
              <w:ind w:firstLine="360"/>
              <w:jc w:val="center"/>
              <w:rPr>
                <w:rFonts w:eastAsia="仿宋"/>
                <w:sz w:val="18"/>
                <w:szCs w:val="18"/>
              </w:rPr>
            </w:pPr>
            <w:r>
              <w:rPr>
                <w:rFonts w:eastAsia="仿宋"/>
                <w:sz w:val="18"/>
                <w:szCs w:val="18"/>
              </w:rPr>
              <w:t>欠发达地区</w:t>
            </w:r>
          </w:p>
        </w:tc>
        <w:tc>
          <w:tcPr>
            <w:tcW w:w="3628" w:type="dxa"/>
            <w:gridSpan w:val="4"/>
            <w:tcBorders>
              <w:top w:val="single" w:color="auto" w:sz="4" w:space="0"/>
              <w:bottom w:val="single" w:color="auto" w:sz="4" w:space="0"/>
            </w:tcBorders>
            <w:shd w:val="clear" w:color="auto" w:fill="auto"/>
            <w:noWrap/>
            <w:vAlign w:val="center"/>
          </w:tcPr>
          <w:p>
            <w:pPr>
              <w:widowControl/>
              <w:ind w:firstLine="360"/>
              <w:jc w:val="center"/>
              <w:rPr>
                <w:rFonts w:eastAsia="仿宋"/>
                <w:sz w:val="18"/>
                <w:szCs w:val="18"/>
              </w:rPr>
            </w:pPr>
            <w:r>
              <w:rPr>
                <w:rFonts w:eastAsia="仿宋"/>
                <w:sz w:val="18"/>
                <w:szCs w:val="18"/>
              </w:rPr>
              <w:t>发达地区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vMerge w:val="continue"/>
            <w:tcBorders>
              <w:bottom w:val="single" w:color="auto" w:sz="4" w:space="0"/>
            </w:tcBorders>
            <w:shd w:val="clear" w:color="auto" w:fill="auto"/>
            <w:noWrap/>
            <w:vAlign w:val="center"/>
          </w:tcPr>
          <w:p>
            <w:pPr>
              <w:widowControl/>
              <w:ind w:firstLine="360"/>
              <w:rPr>
                <w:rFonts w:eastAsia="仿宋"/>
                <w:sz w:val="18"/>
                <w:szCs w:val="18"/>
              </w:rPr>
            </w:pPr>
          </w:p>
        </w:tc>
        <w:tc>
          <w:tcPr>
            <w:tcW w:w="907" w:type="dxa"/>
            <w:tcBorders>
              <w:top w:val="single" w:color="auto" w:sz="4" w:space="0"/>
              <w:bottom w:val="single" w:color="auto" w:sz="4" w:space="0"/>
            </w:tcBorders>
            <w:shd w:val="clear" w:color="auto" w:fill="auto"/>
            <w:noWrap/>
            <w:vAlign w:val="center"/>
          </w:tcPr>
          <w:p>
            <w:pPr>
              <w:widowControl/>
              <w:ind w:firstLine="360"/>
              <w:jc w:val="center"/>
              <w:rPr>
                <w:rFonts w:eastAsia="仿宋"/>
                <w:sz w:val="18"/>
                <w:szCs w:val="18"/>
              </w:rPr>
            </w:pPr>
            <w:r>
              <w:rPr>
                <w:rFonts w:eastAsia="仿宋"/>
                <w:sz w:val="18"/>
                <w:szCs w:val="18"/>
              </w:rPr>
              <w:t>(</w:t>
            </w:r>
            <w:r>
              <w:rPr>
                <w:rFonts w:hint="eastAsia" w:eastAsia="仿宋"/>
                <w:sz w:val="18"/>
                <w:szCs w:val="18"/>
              </w:rPr>
              <w:t>1</w:t>
            </w:r>
            <w:r>
              <w:rPr>
                <w:rFonts w:eastAsia="仿宋"/>
                <w:sz w:val="18"/>
                <w:szCs w:val="18"/>
              </w:rPr>
              <w:t>)</w:t>
            </w:r>
          </w:p>
        </w:tc>
        <w:tc>
          <w:tcPr>
            <w:tcW w:w="907" w:type="dxa"/>
            <w:tcBorders>
              <w:top w:val="single" w:color="auto" w:sz="4" w:space="0"/>
              <w:bottom w:val="single" w:color="auto" w:sz="4" w:space="0"/>
            </w:tcBorders>
            <w:shd w:val="clear" w:color="auto" w:fill="auto"/>
            <w:noWrap/>
            <w:vAlign w:val="center"/>
          </w:tcPr>
          <w:p>
            <w:pPr>
              <w:widowControl/>
              <w:ind w:firstLine="360"/>
              <w:jc w:val="center"/>
              <w:rPr>
                <w:rFonts w:eastAsia="仿宋"/>
                <w:sz w:val="18"/>
                <w:szCs w:val="18"/>
              </w:rPr>
            </w:pPr>
            <w:r>
              <w:rPr>
                <w:rFonts w:eastAsia="仿宋"/>
                <w:sz w:val="18"/>
                <w:szCs w:val="18"/>
              </w:rPr>
              <w:t>(</w:t>
            </w:r>
            <w:r>
              <w:rPr>
                <w:rFonts w:hint="eastAsia" w:eastAsia="仿宋"/>
                <w:sz w:val="18"/>
                <w:szCs w:val="18"/>
              </w:rPr>
              <w:t>2</w:t>
            </w:r>
            <w:r>
              <w:rPr>
                <w:rFonts w:eastAsia="仿宋"/>
                <w:sz w:val="18"/>
                <w:szCs w:val="18"/>
              </w:rPr>
              <w:t>)</w:t>
            </w:r>
          </w:p>
        </w:tc>
        <w:tc>
          <w:tcPr>
            <w:tcW w:w="907" w:type="dxa"/>
            <w:tcBorders>
              <w:top w:val="single" w:color="auto" w:sz="4" w:space="0"/>
              <w:bottom w:val="single" w:color="auto" w:sz="4" w:space="0"/>
            </w:tcBorders>
            <w:shd w:val="clear" w:color="auto" w:fill="auto"/>
            <w:noWrap/>
            <w:vAlign w:val="center"/>
          </w:tcPr>
          <w:p>
            <w:pPr>
              <w:widowControl/>
              <w:ind w:firstLine="360"/>
              <w:jc w:val="center"/>
              <w:rPr>
                <w:rFonts w:eastAsia="仿宋"/>
                <w:sz w:val="18"/>
                <w:szCs w:val="18"/>
              </w:rPr>
            </w:pPr>
            <w:r>
              <w:rPr>
                <w:rFonts w:eastAsia="仿宋"/>
                <w:sz w:val="18"/>
                <w:szCs w:val="18"/>
              </w:rPr>
              <w:t>(</w:t>
            </w:r>
            <w:r>
              <w:rPr>
                <w:rFonts w:hint="eastAsia" w:eastAsia="仿宋"/>
                <w:sz w:val="18"/>
                <w:szCs w:val="18"/>
              </w:rPr>
              <w:t>3</w:t>
            </w:r>
            <w:r>
              <w:rPr>
                <w:rFonts w:eastAsia="仿宋"/>
                <w:sz w:val="18"/>
                <w:szCs w:val="18"/>
              </w:rPr>
              <w:t>)</w:t>
            </w:r>
          </w:p>
        </w:tc>
        <w:tc>
          <w:tcPr>
            <w:tcW w:w="907" w:type="dxa"/>
            <w:tcBorders>
              <w:top w:val="single" w:color="auto" w:sz="4" w:space="0"/>
              <w:bottom w:val="single" w:color="auto" w:sz="4" w:space="0"/>
            </w:tcBorders>
            <w:shd w:val="clear" w:color="auto" w:fill="auto"/>
            <w:noWrap/>
            <w:vAlign w:val="center"/>
          </w:tcPr>
          <w:p>
            <w:pPr>
              <w:widowControl/>
              <w:ind w:firstLine="360"/>
              <w:jc w:val="center"/>
              <w:rPr>
                <w:rFonts w:eastAsia="仿宋"/>
                <w:sz w:val="18"/>
                <w:szCs w:val="18"/>
              </w:rPr>
            </w:pPr>
            <w:r>
              <w:rPr>
                <w:rFonts w:eastAsia="仿宋"/>
                <w:sz w:val="18"/>
                <w:szCs w:val="18"/>
              </w:rPr>
              <w:t>(</w:t>
            </w:r>
            <w:r>
              <w:rPr>
                <w:rFonts w:hint="eastAsia" w:eastAsia="仿宋"/>
                <w:sz w:val="18"/>
                <w:szCs w:val="18"/>
              </w:rPr>
              <w:t>4</w:t>
            </w:r>
            <w:r>
              <w:rPr>
                <w:rFonts w:eastAsia="仿宋"/>
                <w:sz w:val="18"/>
                <w:szCs w:val="18"/>
              </w:rPr>
              <w:t>)</w:t>
            </w:r>
          </w:p>
        </w:tc>
        <w:tc>
          <w:tcPr>
            <w:tcW w:w="907" w:type="dxa"/>
            <w:tcBorders>
              <w:top w:val="single" w:color="auto" w:sz="4" w:space="0"/>
              <w:bottom w:val="single" w:color="auto" w:sz="4" w:space="0"/>
            </w:tcBorders>
            <w:shd w:val="clear" w:color="auto" w:fill="auto"/>
            <w:noWrap/>
            <w:vAlign w:val="center"/>
          </w:tcPr>
          <w:p>
            <w:pPr>
              <w:widowControl/>
              <w:ind w:firstLine="360"/>
              <w:jc w:val="center"/>
              <w:rPr>
                <w:rFonts w:eastAsia="仿宋"/>
                <w:sz w:val="18"/>
                <w:szCs w:val="18"/>
              </w:rPr>
            </w:pPr>
            <w:r>
              <w:rPr>
                <w:rFonts w:eastAsia="仿宋"/>
                <w:sz w:val="18"/>
                <w:szCs w:val="18"/>
              </w:rPr>
              <w:t>(</w:t>
            </w:r>
            <w:r>
              <w:rPr>
                <w:rFonts w:hint="eastAsia" w:eastAsia="仿宋"/>
                <w:sz w:val="18"/>
                <w:szCs w:val="18"/>
              </w:rPr>
              <w:t>5</w:t>
            </w:r>
            <w:r>
              <w:rPr>
                <w:rFonts w:eastAsia="仿宋"/>
                <w:sz w:val="18"/>
                <w:szCs w:val="18"/>
              </w:rPr>
              <w:t>)</w:t>
            </w:r>
          </w:p>
        </w:tc>
        <w:tc>
          <w:tcPr>
            <w:tcW w:w="907" w:type="dxa"/>
            <w:tcBorders>
              <w:top w:val="single" w:color="auto" w:sz="4" w:space="0"/>
              <w:bottom w:val="single" w:color="auto" w:sz="4" w:space="0"/>
            </w:tcBorders>
            <w:shd w:val="clear" w:color="auto" w:fill="auto"/>
            <w:noWrap/>
            <w:vAlign w:val="center"/>
          </w:tcPr>
          <w:p>
            <w:pPr>
              <w:widowControl/>
              <w:ind w:firstLine="360"/>
              <w:jc w:val="center"/>
              <w:rPr>
                <w:rFonts w:eastAsia="仿宋"/>
                <w:sz w:val="18"/>
                <w:szCs w:val="18"/>
              </w:rPr>
            </w:pPr>
            <w:r>
              <w:rPr>
                <w:rFonts w:eastAsia="仿宋"/>
                <w:sz w:val="18"/>
                <w:szCs w:val="18"/>
              </w:rPr>
              <w:t>(</w:t>
            </w:r>
            <w:r>
              <w:rPr>
                <w:rFonts w:hint="eastAsia" w:eastAsia="仿宋"/>
                <w:sz w:val="18"/>
                <w:szCs w:val="18"/>
              </w:rPr>
              <w:t>6</w:t>
            </w:r>
            <w:r>
              <w:rPr>
                <w:rFonts w:eastAsia="仿宋"/>
                <w:sz w:val="18"/>
                <w:szCs w:val="18"/>
              </w:rPr>
              <w:t>)</w:t>
            </w:r>
          </w:p>
        </w:tc>
        <w:tc>
          <w:tcPr>
            <w:tcW w:w="907" w:type="dxa"/>
            <w:tcBorders>
              <w:top w:val="single" w:color="auto" w:sz="4" w:space="0"/>
              <w:bottom w:val="single" w:color="auto" w:sz="4" w:space="0"/>
            </w:tcBorders>
            <w:shd w:val="clear" w:color="auto" w:fill="auto"/>
            <w:noWrap/>
            <w:vAlign w:val="center"/>
          </w:tcPr>
          <w:p>
            <w:pPr>
              <w:widowControl/>
              <w:ind w:firstLine="360"/>
              <w:jc w:val="center"/>
              <w:rPr>
                <w:rFonts w:eastAsia="仿宋"/>
                <w:sz w:val="18"/>
                <w:szCs w:val="18"/>
              </w:rPr>
            </w:pPr>
            <w:r>
              <w:rPr>
                <w:rFonts w:eastAsia="仿宋"/>
                <w:sz w:val="18"/>
                <w:szCs w:val="18"/>
              </w:rPr>
              <w:t>(</w:t>
            </w:r>
            <w:r>
              <w:rPr>
                <w:rFonts w:hint="eastAsia" w:eastAsia="仿宋"/>
                <w:sz w:val="18"/>
                <w:szCs w:val="18"/>
              </w:rPr>
              <w:t>7</w:t>
            </w:r>
            <w:r>
              <w:rPr>
                <w:rFonts w:eastAsia="仿宋"/>
                <w:sz w:val="18"/>
                <w:szCs w:val="18"/>
              </w:rPr>
              <w:t>)</w:t>
            </w:r>
          </w:p>
        </w:tc>
        <w:tc>
          <w:tcPr>
            <w:tcW w:w="907" w:type="dxa"/>
            <w:tcBorders>
              <w:top w:val="single" w:color="auto" w:sz="4" w:space="0"/>
              <w:bottom w:val="single" w:color="auto" w:sz="4" w:space="0"/>
            </w:tcBorders>
            <w:shd w:val="clear" w:color="auto" w:fill="auto"/>
            <w:noWrap/>
            <w:vAlign w:val="center"/>
          </w:tcPr>
          <w:p>
            <w:pPr>
              <w:widowControl/>
              <w:ind w:firstLine="360"/>
              <w:jc w:val="center"/>
              <w:rPr>
                <w:rFonts w:eastAsia="仿宋"/>
                <w:sz w:val="18"/>
                <w:szCs w:val="18"/>
              </w:rPr>
            </w:pPr>
            <w:r>
              <w:rPr>
                <w:rFonts w:eastAsia="仿宋"/>
                <w:sz w:val="18"/>
                <w:szCs w:val="18"/>
              </w:rPr>
              <w:t>(</w:t>
            </w:r>
            <w:r>
              <w:rPr>
                <w:rFonts w:hint="eastAsia" w:eastAsia="仿宋"/>
                <w:sz w:val="18"/>
                <w:szCs w:val="18"/>
              </w:rPr>
              <w:t>8</w:t>
            </w:r>
            <w:r>
              <w:rPr>
                <w:rFonts w:eastAsia="仿宋"/>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r>
              <w:rPr>
                <w:i/>
                <w:iCs/>
                <w:sz w:val="18"/>
                <w:szCs w:val="18"/>
              </w:rPr>
              <w:t>P</w:t>
            </w:r>
            <w:r>
              <w:rPr>
                <w:rFonts w:hint="eastAsia"/>
                <w:i/>
                <w:iCs/>
                <w:sz w:val="18"/>
                <w:szCs w:val="18"/>
              </w:rPr>
              <w:t>ressure</w:t>
            </w:r>
            <w:r>
              <w:rPr>
                <w:i/>
                <w:iCs/>
                <w:sz w:val="18"/>
                <w:szCs w:val="18"/>
                <w:vertAlign w:val="subscript"/>
              </w:rPr>
              <w:t>p,t-1</w:t>
            </w:r>
          </w:p>
        </w:tc>
        <w:tc>
          <w:tcPr>
            <w:tcW w:w="907" w:type="dxa"/>
            <w:shd w:val="clear" w:color="auto" w:fill="auto"/>
            <w:noWrap/>
            <w:vAlign w:val="center"/>
          </w:tcPr>
          <w:p>
            <w:pPr>
              <w:widowControl/>
              <w:jc w:val="center"/>
              <w:rPr>
                <w:rFonts w:eastAsia="仿宋"/>
                <w:sz w:val="18"/>
                <w:szCs w:val="18"/>
              </w:rPr>
            </w:pPr>
            <w:r>
              <w:rPr>
                <w:rFonts w:eastAsia="仿宋"/>
                <w:sz w:val="18"/>
                <w:szCs w:val="18"/>
              </w:rPr>
              <w:t>-0.009**</w:t>
            </w:r>
          </w:p>
        </w:tc>
        <w:tc>
          <w:tcPr>
            <w:tcW w:w="907" w:type="dxa"/>
            <w:shd w:val="clear" w:color="auto" w:fill="auto"/>
            <w:noWrap/>
            <w:vAlign w:val="center"/>
          </w:tcPr>
          <w:p>
            <w:pPr>
              <w:widowControl/>
              <w:jc w:val="center"/>
              <w:rPr>
                <w:rFonts w:eastAsia="仿宋"/>
                <w:sz w:val="18"/>
                <w:szCs w:val="18"/>
              </w:rPr>
            </w:pPr>
            <w:r>
              <w:rPr>
                <w:rFonts w:eastAsia="仿宋"/>
                <w:sz w:val="18"/>
                <w:szCs w:val="18"/>
              </w:rPr>
              <w:t>-0.001</w:t>
            </w:r>
          </w:p>
        </w:tc>
        <w:tc>
          <w:tcPr>
            <w:tcW w:w="907" w:type="dxa"/>
            <w:shd w:val="clear" w:color="auto" w:fill="auto"/>
            <w:noWrap/>
            <w:vAlign w:val="center"/>
          </w:tcPr>
          <w:p>
            <w:pPr>
              <w:widowControl/>
              <w:jc w:val="center"/>
              <w:rPr>
                <w:rFonts w:eastAsia="仿宋"/>
                <w:sz w:val="18"/>
                <w:szCs w:val="18"/>
              </w:rPr>
            </w:pPr>
            <w:r>
              <w:rPr>
                <w:rFonts w:eastAsia="仿宋"/>
                <w:sz w:val="18"/>
                <w:szCs w:val="18"/>
              </w:rPr>
              <w:t>0.000</w:t>
            </w:r>
          </w:p>
        </w:tc>
        <w:tc>
          <w:tcPr>
            <w:tcW w:w="907" w:type="dxa"/>
            <w:shd w:val="clear" w:color="auto" w:fill="auto"/>
            <w:noWrap/>
            <w:vAlign w:val="center"/>
          </w:tcPr>
          <w:p>
            <w:pPr>
              <w:widowControl/>
              <w:jc w:val="center"/>
              <w:rPr>
                <w:rFonts w:eastAsia="仿宋"/>
                <w:sz w:val="18"/>
                <w:szCs w:val="18"/>
              </w:rPr>
            </w:pPr>
            <w:r>
              <w:rPr>
                <w:rFonts w:eastAsia="仿宋"/>
                <w:sz w:val="18"/>
                <w:szCs w:val="18"/>
              </w:rPr>
              <w:t>-0.009**</w:t>
            </w:r>
          </w:p>
        </w:tc>
        <w:tc>
          <w:tcPr>
            <w:tcW w:w="907" w:type="dxa"/>
            <w:shd w:val="clear" w:color="auto" w:fill="auto"/>
            <w:noWrap/>
            <w:vAlign w:val="center"/>
          </w:tcPr>
          <w:p>
            <w:pPr>
              <w:widowControl/>
              <w:jc w:val="center"/>
              <w:rPr>
                <w:rFonts w:eastAsia="仿宋"/>
                <w:sz w:val="18"/>
                <w:szCs w:val="18"/>
              </w:rPr>
            </w:pPr>
            <w:r>
              <w:rPr>
                <w:rFonts w:eastAsia="仿宋"/>
                <w:sz w:val="18"/>
                <w:szCs w:val="18"/>
              </w:rPr>
              <w:t>0.017**</w:t>
            </w:r>
          </w:p>
        </w:tc>
        <w:tc>
          <w:tcPr>
            <w:tcW w:w="907" w:type="dxa"/>
            <w:shd w:val="clear" w:color="auto" w:fill="auto"/>
            <w:noWrap/>
            <w:vAlign w:val="center"/>
          </w:tcPr>
          <w:p>
            <w:pPr>
              <w:widowControl/>
              <w:jc w:val="center"/>
              <w:rPr>
                <w:rFonts w:eastAsia="仿宋"/>
                <w:sz w:val="18"/>
                <w:szCs w:val="18"/>
              </w:rPr>
            </w:pPr>
            <w:r>
              <w:rPr>
                <w:rFonts w:eastAsia="仿宋"/>
                <w:sz w:val="18"/>
                <w:szCs w:val="18"/>
              </w:rPr>
              <w:t>0.016*</w:t>
            </w:r>
          </w:p>
        </w:tc>
        <w:tc>
          <w:tcPr>
            <w:tcW w:w="907" w:type="dxa"/>
            <w:shd w:val="clear" w:color="auto" w:fill="auto"/>
            <w:noWrap/>
            <w:vAlign w:val="center"/>
          </w:tcPr>
          <w:p>
            <w:pPr>
              <w:widowControl/>
              <w:jc w:val="center"/>
              <w:rPr>
                <w:rFonts w:eastAsia="仿宋"/>
                <w:sz w:val="18"/>
                <w:szCs w:val="18"/>
              </w:rPr>
            </w:pPr>
            <w:r>
              <w:rPr>
                <w:rFonts w:eastAsia="仿宋"/>
                <w:sz w:val="18"/>
                <w:szCs w:val="18"/>
              </w:rPr>
              <w:t>0.015*</w:t>
            </w:r>
          </w:p>
        </w:tc>
        <w:tc>
          <w:tcPr>
            <w:tcW w:w="907" w:type="dxa"/>
            <w:shd w:val="clear" w:color="auto" w:fill="auto"/>
            <w:noWrap/>
            <w:vAlign w:val="center"/>
          </w:tcPr>
          <w:p>
            <w:pPr>
              <w:widowControl/>
              <w:jc w:val="center"/>
              <w:rPr>
                <w:rFonts w:eastAsia="仿宋"/>
                <w:sz w:val="18"/>
                <w:szCs w:val="18"/>
              </w:rPr>
            </w:pPr>
            <w:r>
              <w:rPr>
                <w:rFonts w:eastAsia="仿宋"/>
                <w:sz w:val="18"/>
                <w:szCs w:val="18"/>
              </w:rPr>
              <w:t>0.016**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(0.004)</w:t>
            </w:r>
          </w:p>
        </w:tc>
        <w:tc>
          <w:tcPr>
            <w:tcW w:w="907" w:type="dxa"/>
            <w:shd w:val="clear" w:color="auto" w:fill="auto"/>
            <w:noWrap/>
            <w:vAlign w:val="center"/>
          </w:tcPr>
          <w:p>
            <w:pPr>
              <w:widowControl/>
              <w:jc w:val="center"/>
              <w:rPr>
                <w:rFonts w:eastAsia="仿宋"/>
                <w:sz w:val="18"/>
                <w:szCs w:val="18"/>
              </w:rPr>
            </w:pPr>
            <w:r>
              <w:rPr>
                <w:rFonts w:eastAsia="仿宋"/>
                <w:sz w:val="18"/>
                <w:szCs w:val="18"/>
              </w:rPr>
              <w:t>(0.006)</w:t>
            </w:r>
          </w:p>
        </w:tc>
        <w:tc>
          <w:tcPr>
            <w:tcW w:w="907" w:type="dxa"/>
            <w:shd w:val="clear" w:color="auto" w:fill="auto"/>
            <w:noWrap/>
            <w:vAlign w:val="center"/>
          </w:tcPr>
          <w:p>
            <w:pPr>
              <w:widowControl/>
              <w:jc w:val="center"/>
              <w:rPr>
                <w:rFonts w:eastAsia="仿宋"/>
                <w:sz w:val="18"/>
                <w:szCs w:val="18"/>
              </w:rPr>
            </w:pPr>
            <w:r>
              <w:rPr>
                <w:rFonts w:eastAsia="仿宋"/>
                <w:sz w:val="18"/>
                <w:szCs w:val="18"/>
              </w:rPr>
              <w:t>(0.006)</w:t>
            </w:r>
          </w:p>
        </w:tc>
        <w:tc>
          <w:tcPr>
            <w:tcW w:w="907" w:type="dxa"/>
            <w:shd w:val="clear" w:color="auto" w:fill="auto"/>
            <w:noWrap/>
            <w:vAlign w:val="center"/>
          </w:tcPr>
          <w:p>
            <w:pPr>
              <w:widowControl/>
              <w:jc w:val="center"/>
              <w:rPr>
                <w:rFonts w:eastAsia="仿宋"/>
                <w:sz w:val="18"/>
                <w:szCs w:val="18"/>
              </w:rPr>
            </w:pPr>
            <w:r>
              <w:rPr>
                <w:rFonts w:eastAsia="仿宋"/>
                <w:sz w:val="18"/>
                <w:szCs w:val="18"/>
              </w:rPr>
              <w:t>(0.005)</w:t>
            </w:r>
          </w:p>
        </w:tc>
        <w:tc>
          <w:tcPr>
            <w:tcW w:w="907" w:type="dxa"/>
            <w:shd w:val="clear" w:color="auto" w:fill="auto"/>
            <w:noWrap/>
            <w:vAlign w:val="center"/>
          </w:tcPr>
          <w:p>
            <w:pPr>
              <w:widowControl/>
              <w:jc w:val="center"/>
              <w:rPr>
                <w:rFonts w:eastAsia="仿宋"/>
                <w:sz w:val="18"/>
                <w:szCs w:val="18"/>
              </w:rPr>
            </w:pPr>
            <w:r>
              <w:rPr>
                <w:rFonts w:eastAsia="仿宋"/>
                <w:sz w:val="18"/>
                <w:szCs w:val="18"/>
              </w:rPr>
              <w:t>(0.008)</w:t>
            </w:r>
          </w:p>
        </w:tc>
        <w:tc>
          <w:tcPr>
            <w:tcW w:w="907" w:type="dxa"/>
            <w:shd w:val="clear" w:color="auto" w:fill="auto"/>
            <w:noWrap/>
            <w:vAlign w:val="center"/>
          </w:tcPr>
          <w:p>
            <w:pPr>
              <w:widowControl/>
              <w:jc w:val="center"/>
              <w:rPr>
                <w:rFonts w:eastAsia="仿宋"/>
                <w:sz w:val="18"/>
                <w:szCs w:val="18"/>
              </w:rPr>
            </w:pPr>
            <w:r>
              <w:rPr>
                <w:rFonts w:eastAsia="仿宋"/>
                <w:sz w:val="18"/>
                <w:szCs w:val="18"/>
              </w:rPr>
              <w:t>(0.008)</w:t>
            </w:r>
          </w:p>
        </w:tc>
        <w:tc>
          <w:tcPr>
            <w:tcW w:w="907" w:type="dxa"/>
            <w:shd w:val="clear" w:color="auto" w:fill="auto"/>
            <w:noWrap/>
            <w:vAlign w:val="center"/>
          </w:tcPr>
          <w:p>
            <w:pPr>
              <w:widowControl/>
              <w:jc w:val="center"/>
              <w:rPr>
                <w:rFonts w:eastAsia="仿宋"/>
                <w:sz w:val="18"/>
                <w:szCs w:val="18"/>
              </w:rPr>
            </w:pPr>
            <w:r>
              <w:rPr>
                <w:rFonts w:eastAsia="仿宋"/>
                <w:sz w:val="18"/>
                <w:szCs w:val="18"/>
              </w:rPr>
              <w:t>(0.008)</w:t>
            </w:r>
          </w:p>
        </w:tc>
        <w:tc>
          <w:tcPr>
            <w:tcW w:w="907" w:type="dxa"/>
            <w:shd w:val="clear" w:color="auto" w:fill="auto"/>
            <w:noWrap/>
            <w:vAlign w:val="center"/>
          </w:tcPr>
          <w:p>
            <w:pPr>
              <w:widowControl/>
              <w:jc w:val="center"/>
              <w:rPr>
                <w:rFonts w:eastAsia="仿宋"/>
                <w:sz w:val="18"/>
                <w:szCs w:val="18"/>
              </w:rPr>
            </w:pPr>
            <w:r>
              <w:rPr>
                <w:rFonts w:eastAsia="仿宋"/>
                <w:sz w:val="18"/>
                <w:szCs w:val="18"/>
              </w:rPr>
              <w:t>(0.008)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r>
              <w:rPr>
                <w:rFonts w:hint="eastAsia" w:eastAsia="仿宋"/>
                <w:i/>
                <w:iCs/>
                <w:sz w:val="18"/>
                <w:szCs w:val="18"/>
              </w:rPr>
              <w:t>l</w:t>
            </w:r>
            <w:r>
              <w:rPr>
                <w:rFonts w:eastAsia="仿宋"/>
                <w:i/>
                <w:iCs/>
                <w:sz w:val="18"/>
                <w:szCs w:val="18"/>
              </w:rPr>
              <w:t>n(</w:t>
            </w:r>
            <w:r>
              <w:rPr>
                <w:rFonts w:hint="eastAsia" w:eastAsia="仿宋"/>
                <w:i/>
                <w:iCs/>
                <w:sz w:val="18"/>
                <w:szCs w:val="18"/>
              </w:rPr>
              <w:t>invest</w:t>
            </w:r>
            <w:r>
              <w:rPr>
                <w:rFonts w:eastAsia="仿宋"/>
                <w:i/>
                <w:iCs/>
                <w:sz w:val="18"/>
                <w:szCs w:val="18"/>
              </w:rPr>
              <w:t>_all)</w:t>
            </w:r>
            <w:r>
              <w:rPr>
                <w:rFonts w:eastAsia="仿宋"/>
                <w:i/>
                <w:iCs/>
                <w:sz w:val="18"/>
                <w:szCs w:val="18"/>
                <w:vertAlign w:val="subscript"/>
              </w:rPr>
              <w:t>p,t</w:t>
            </w: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-0.574*</w:t>
            </w: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0.051</w:t>
            </w: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(0.314)</w:t>
            </w: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(0.106)</w:t>
            </w: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r>
              <w:rPr>
                <w:rFonts w:hint="eastAsia" w:eastAsia="仿宋"/>
                <w:i/>
                <w:iCs/>
                <w:sz w:val="18"/>
                <w:szCs w:val="18"/>
              </w:rPr>
              <w:t>l</w:t>
            </w:r>
            <w:r>
              <w:rPr>
                <w:rFonts w:eastAsia="仿宋"/>
                <w:i/>
                <w:iCs/>
                <w:sz w:val="18"/>
                <w:szCs w:val="18"/>
              </w:rPr>
              <w:t>n(</w:t>
            </w:r>
            <w:r>
              <w:rPr>
                <w:rFonts w:hint="eastAsia" w:eastAsia="仿宋"/>
                <w:i/>
                <w:iCs/>
                <w:sz w:val="18"/>
                <w:szCs w:val="18"/>
              </w:rPr>
              <w:t>invest</w:t>
            </w:r>
            <w:r>
              <w:rPr>
                <w:rFonts w:eastAsia="仿宋"/>
                <w:i/>
                <w:iCs/>
                <w:sz w:val="18"/>
                <w:szCs w:val="18"/>
              </w:rPr>
              <w:t>_SOEs)</w:t>
            </w:r>
            <w:r>
              <w:rPr>
                <w:rFonts w:eastAsia="仿宋"/>
                <w:i/>
                <w:iCs/>
                <w:sz w:val="18"/>
                <w:szCs w:val="18"/>
                <w:vertAlign w:val="subscript"/>
              </w:rPr>
              <w:t>p,t</w:t>
            </w: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-0.386**</w:t>
            </w: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0.051</w:t>
            </w:r>
          </w:p>
        </w:tc>
        <w:tc>
          <w:tcPr>
            <w:tcW w:w="907" w:type="dxa"/>
            <w:shd w:val="clear" w:color="auto" w:fill="auto"/>
            <w:noWrap/>
            <w:vAlign w:val="center"/>
          </w:tcPr>
          <w:p>
            <w:pPr>
              <w:widowControl/>
              <w:jc w:val="center"/>
              <w:rPr>
                <w:rFonts w:eastAsia="仿宋"/>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(0.187)</w:t>
            </w: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(0.088)</w:t>
            </w:r>
          </w:p>
        </w:tc>
        <w:tc>
          <w:tcPr>
            <w:tcW w:w="907" w:type="dxa"/>
            <w:shd w:val="clear" w:color="auto" w:fill="auto"/>
            <w:noWrap/>
            <w:vAlign w:val="center"/>
          </w:tcPr>
          <w:p>
            <w:pPr>
              <w:widowControl/>
              <w:jc w:val="center"/>
              <w:rPr>
                <w:rFonts w:eastAsia="仿宋"/>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r>
              <w:rPr>
                <w:rFonts w:hint="eastAsia" w:eastAsia="仿宋"/>
                <w:i/>
                <w:iCs/>
                <w:sz w:val="18"/>
                <w:szCs w:val="18"/>
              </w:rPr>
              <w:t>l</w:t>
            </w:r>
            <w:r>
              <w:rPr>
                <w:rFonts w:eastAsia="仿宋"/>
                <w:i/>
                <w:iCs/>
                <w:sz w:val="18"/>
                <w:szCs w:val="18"/>
              </w:rPr>
              <w:t>n(</w:t>
            </w:r>
            <w:r>
              <w:rPr>
                <w:rFonts w:hint="eastAsia" w:eastAsia="仿宋"/>
                <w:i/>
                <w:iCs/>
                <w:sz w:val="18"/>
                <w:szCs w:val="18"/>
              </w:rPr>
              <w:t>invest</w:t>
            </w:r>
            <w:r>
              <w:rPr>
                <w:rFonts w:eastAsia="仿宋"/>
                <w:i/>
                <w:iCs/>
                <w:sz w:val="18"/>
                <w:szCs w:val="18"/>
              </w:rPr>
              <w:t>_POEs)</w:t>
            </w:r>
            <w:r>
              <w:rPr>
                <w:rFonts w:eastAsia="仿宋"/>
                <w:i/>
                <w:iCs/>
                <w:sz w:val="18"/>
                <w:szCs w:val="18"/>
                <w:vertAlign w:val="subscript"/>
              </w:rPr>
              <w:t>p,t</w:t>
            </w: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-0.039</w:t>
            </w: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p>
        </w:tc>
        <w:tc>
          <w:tcPr>
            <w:tcW w:w="907" w:type="dxa"/>
            <w:shd w:val="clear" w:color="auto" w:fill="auto"/>
            <w:noWrap/>
            <w:vAlign w:val="center"/>
          </w:tcPr>
          <w:p>
            <w:pPr>
              <w:widowControl/>
              <w:jc w:val="center"/>
              <w:rPr>
                <w:rFonts w:eastAsia="仿宋"/>
                <w:sz w:val="18"/>
                <w:szCs w:val="18"/>
              </w:rPr>
            </w:pPr>
            <w:r>
              <w:rPr>
                <w:rFonts w:eastAsia="仿宋"/>
                <w:sz w:val="18"/>
                <w:szCs w:val="18"/>
              </w:rPr>
              <w:t>-0.093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r>
              <w:rPr>
                <w:rFonts w:hint="eastAsia" w:eastAsia="仿宋"/>
                <w:sz w:val="18"/>
                <w:szCs w:val="18"/>
              </w:rPr>
              <w:t>控制变量</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r>
              <w:rPr>
                <w:rFonts w:hint="eastAsia" w:eastAsia="仿宋"/>
                <w:sz w:val="18"/>
                <w:szCs w:val="18"/>
              </w:rPr>
              <w:t>省份与年份固定效应</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c>
          <w:tcPr>
            <w:tcW w:w="907" w:type="dxa"/>
            <w:shd w:val="clear" w:color="auto" w:fill="auto"/>
            <w:noWrap/>
            <w:vAlign w:val="center"/>
          </w:tcPr>
          <w:p>
            <w:pPr>
              <w:widowControl/>
              <w:jc w:val="center"/>
              <w:rPr>
                <w:rFonts w:eastAsia="仿宋"/>
                <w:sz w:val="18"/>
                <w:szCs w:val="18"/>
              </w:rPr>
            </w:pPr>
            <w:r>
              <w:rPr>
                <w:rFonts w:hint="eastAsia" w:eastAsia="仿宋"/>
                <w:sz w:val="18"/>
                <w:szCs w:val="18"/>
              </w:rPr>
              <w:t>是</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r>
              <w:rPr>
                <w:rFonts w:eastAsia="仿宋"/>
                <w:sz w:val="18"/>
                <w:szCs w:val="18"/>
              </w:rPr>
              <w:t>R</w:t>
            </w:r>
            <w:r>
              <w:rPr>
                <w:rFonts w:eastAsia="仿宋"/>
                <w:sz w:val="18"/>
                <w:szCs w:val="18"/>
                <w:vertAlign w:val="superscript"/>
              </w:rPr>
              <w:t>2</w:t>
            </w:r>
          </w:p>
        </w:tc>
        <w:tc>
          <w:tcPr>
            <w:tcW w:w="907" w:type="dxa"/>
            <w:shd w:val="clear" w:color="auto" w:fill="auto"/>
            <w:noWrap/>
            <w:vAlign w:val="center"/>
          </w:tcPr>
          <w:p>
            <w:pPr>
              <w:widowControl/>
              <w:jc w:val="center"/>
              <w:rPr>
                <w:rFonts w:eastAsia="仿宋"/>
                <w:sz w:val="18"/>
                <w:szCs w:val="18"/>
              </w:rPr>
            </w:pPr>
            <w:r>
              <w:rPr>
                <w:rFonts w:eastAsia="仿宋"/>
                <w:sz w:val="18"/>
                <w:szCs w:val="18"/>
              </w:rPr>
              <w:t>0.702</w:t>
            </w:r>
          </w:p>
        </w:tc>
        <w:tc>
          <w:tcPr>
            <w:tcW w:w="907" w:type="dxa"/>
            <w:shd w:val="clear" w:color="auto" w:fill="auto"/>
            <w:noWrap/>
            <w:vAlign w:val="center"/>
          </w:tcPr>
          <w:p>
            <w:pPr>
              <w:widowControl/>
              <w:jc w:val="center"/>
              <w:rPr>
                <w:rFonts w:eastAsia="仿宋"/>
                <w:sz w:val="18"/>
                <w:szCs w:val="18"/>
              </w:rPr>
            </w:pPr>
            <w:r>
              <w:rPr>
                <w:rFonts w:eastAsia="仿宋"/>
                <w:sz w:val="18"/>
                <w:szCs w:val="18"/>
              </w:rPr>
              <w:t>0.746</w:t>
            </w:r>
          </w:p>
        </w:tc>
        <w:tc>
          <w:tcPr>
            <w:tcW w:w="907" w:type="dxa"/>
            <w:shd w:val="clear" w:color="auto" w:fill="auto"/>
            <w:noWrap/>
            <w:vAlign w:val="center"/>
          </w:tcPr>
          <w:p>
            <w:pPr>
              <w:widowControl/>
              <w:jc w:val="center"/>
              <w:rPr>
                <w:rFonts w:eastAsia="仿宋"/>
                <w:sz w:val="18"/>
                <w:szCs w:val="18"/>
              </w:rPr>
            </w:pPr>
            <w:r>
              <w:rPr>
                <w:rFonts w:eastAsia="仿宋"/>
                <w:sz w:val="18"/>
                <w:szCs w:val="18"/>
              </w:rPr>
              <w:t>0.743</w:t>
            </w:r>
          </w:p>
        </w:tc>
        <w:tc>
          <w:tcPr>
            <w:tcW w:w="907" w:type="dxa"/>
            <w:shd w:val="clear" w:color="auto" w:fill="auto"/>
            <w:noWrap/>
            <w:vAlign w:val="center"/>
          </w:tcPr>
          <w:p>
            <w:pPr>
              <w:widowControl/>
              <w:jc w:val="center"/>
              <w:rPr>
                <w:rFonts w:eastAsia="仿宋"/>
                <w:sz w:val="18"/>
                <w:szCs w:val="18"/>
              </w:rPr>
            </w:pPr>
            <w:r>
              <w:rPr>
                <w:rFonts w:eastAsia="仿宋"/>
                <w:sz w:val="18"/>
                <w:szCs w:val="18"/>
              </w:rPr>
              <w:t>0.703</w:t>
            </w:r>
          </w:p>
        </w:tc>
        <w:tc>
          <w:tcPr>
            <w:tcW w:w="907" w:type="dxa"/>
            <w:shd w:val="clear" w:color="auto" w:fill="auto"/>
            <w:noWrap/>
            <w:vAlign w:val="center"/>
          </w:tcPr>
          <w:p>
            <w:pPr>
              <w:widowControl/>
              <w:jc w:val="center"/>
              <w:rPr>
                <w:rFonts w:eastAsia="仿宋"/>
                <w:sz w:val="18"/>
                <w:szCs w:val="18"/>
              </w:rPr>
            </w:pPr>
            <w:r>
              <w:rPr>
                <w:rFonts w:eastAsia="仿宋"/>
                <w:sz w:val="18"/>
                <w:szCs w:val="18"/>
              </w:rPr>
              <w:t>0.807</w:t>
            </w:r>
          </w:p>
        </w:tc>
        <w:tc>
          <w:tcPr>
            <w:tcW w:w="907" w:type="dxa"/>
            <w:shd w:val="clear" w:color="auto" w:fill="auto"/>
            <w:noWrap/>
            <w:vAlign w:val="center"/>
          </w:tcPr>
          <w:p>
            <w:pPr>
              <w:widowControl/>
              <w:jc w:val="center"/>
              <w:rPr>
                <w:rFonts w:eastAsia="仿宋"/>
                <w:sz w:val="18"/>
                <w:szCs w:val="18"/>
              </w:rPr>
            </w:pPr>
            <w:r>
              <w:rPr>
                <w:rFonts w:eastAsia="仿宋"/>
                <w:sz w:val="18"/>
                <w:szCs w:val="18"/>
              </w:rPr>
              <w:t>0.808</w:t>
            </w:r>
          </w:p>
        </w:tc>
        <w:tc>
          <w:tcPr>
            <w:tcW w:w="907" w:type="dxa"/>
            <w:shd w:val="clear" w:color="auto" w:fill="auto"/>
            <w:noWrap/>
            <w:vAlign w:val="center"/>
          </w:tcPr>
          <w:p>
            <w:pPr>
              <w:widowControl/>
              <w:jc w:val="center"/>
              <w:rPr>
                <w:rFonts w:eastAsia="仿宋"/>
                <w:sz w:val="18"/>
                <w:szCs w:val="18"/>
              </w:rPr>
            </w:pPr>
            <w:r>
              <w:rPr>
                <w:rFonts w:eastAsia="仿宋"/>
                <w:sz w:val="18"/>
                <w:szCs w:val="18"/>
              </w:rPr>
              <w:t>0.808</w:t>
            </w:r>
          </w:p>
        </w:tc>
        <w:tc>
          <w:tcPr>
            <w:tcW w:w="907" w:type="dxa"/>
            <w:shd w:val="clear" w:color="auto" w:fill="auto"/>
            <w:noWrap/>
            <w:vAlign w:val="center"/>
          </w:tcPr>
          <w:p>
            <w:pPr>
              <w:widowControl/>
              <w:jc w:val="center"/>
              <w:rPr>
                <w:rFonts w:eastAsia="仿宋"/>
                <w:sz w:val="18"/>
                <w:szCs w:val="18"/>
              </w:rPr>
            </w:pPr>
            <w:r>
              <w:rPr>
                <w:rFonts w:eastAsia="仿宋"/>
                <w:sz w:val="18"/>
                <w:szCs w:val="18"/>
              </w:rPr>
              <w:t>0.813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587" w:type="dxa"/>
            <w:shd w:val="clear" w:color="auto" w:fill="auto"/>
            <w:noWrap/>
            <w:vAlign w:val="center"/>
          </w:tcPr>
          <w:p>
            <w:pPr>
              <w:widowControl/>
              <w:rPr>
                <w:rFonts w:eastAsia="仿宋"/>
                <w:sz w:val="18"/>
                <w:szCs w:val="18"/>
              </w:rPr>
            </w:pPr>
            <w:r>
              <w:rPr>
                <w:rFonts w:hint="eastAsia" w:eastAsia="仿宋"/>
                <w:sz w:val="18"/>
                <w:szCs w:val="18"/>
              </w:rPr>
              <w:t>观测值</w:t>
            </w:r>
          </w:p>
        </w:tc>
        <w:tc>
          <w:tcPr>
            <w:tcW w:w="907" w:type="dxa"/>
            <w:shd w:val="clear" w:color="auto" w:fill="auto"/>
            <w:noWrap/>
            <w:vAlign w:val="center"/>
          </w:tcPr>
          <w:p>
            <w:pPr>
              <w:widowControl/>
              <w:jc w:val="center"/>
              <w:rPr>
                <w:rFonts w:eastAsia="仿宋"/>
                <w:sz w:val="18"/>
                <w:szCs w:val="18"/>
              </w:rPr>
            </w:pPr>
            <w:r>
              <w:rPr>
                <w:rFonts w:eastAsia="仿宋"/>
                <w:sz w:val="18"/>
                <w:szCs w:val="18"/>
              </w:rPr>
              <w:t>77</w:t>
            </w:r>
          </w:p>
        </w:tc>
        <w:tc>
          <w:tcPr>
            <w:tcW w:w="907" w:type="dxa"/>
            <w:shd w:val="clear" w:color="auto" w:fill="auto"/>
            <w:noWrap/>
            <w:vAlign w:val="center"/>
          </w:tcPr>
          <w:p>
            <w:pPr>
              <w:widowControl/>
              <w:jc w:val="center"/>
              <w:rPr>
                <w:rFonts w:eastAsia="仿宋"/>
                <w:sz w:val="18"/>
                <w:szCs w:val="18"/>
              </w:rPr>
            </w:pPr>
            <w:r>
              <w:rPr>
                <w:rFonts w:eastAsia="仿宋"/>
                <w:sz w:val="18"/>
                <w:szCs w:val="18"/>
              </w:rPr>
              <w:t>77</w:t>
            </w:r>
          </w:p>
        </w:tc>
        <w:tc>
          <w:tcPr>
            <w:tcW w:w="907" w:type="dxa"/>
            <w:shd w:val="clear" w:color="auto" w:fill="auto"/>
            <w:noWrap/>
            <w:vAlign w:val="center"/>
          </w:tcPr>
          <w:p>
            <w:pPr>
              <w:widowControl/>
              <w:jc w:val="center"/>
              <w:rPr>
                <w:rFonts w:eastAsia="仿宋"/>
                <w:sz w:val="18"/>
                <w:szCs w:val="18"/>
              </w:rPr>
            </w:pPr>
            <w:r>
              <w:rPr>
                <w:rFonts w:eastAsia="仿宋"/>
                <w:sz w:val="18"/>
                <w:szCs w:val="18"/>
              </w:rPr>
              <w:t>77</w:t>
            </w:r>
          </w:p>
        </w:tc>
        <w:tc>
          <w:tcPr>
            <w:tcW w:w="907" w:type="dxa"/>
            <w:shd w:val="clear" w:color="auto" w:fill="auto"/>
            <w:noWrap/>
            <w:vAlign w:val="center"/>
          </w:tcPr>
          <w:p>
            <w:pPr>
              <w:widowControl/>
              <w:jc w:val="center"/>
              <w:rPr>
                <w:rFonts w:eastAsia="仿宋"/>
                <w:sz w:val="18"/>
                <w:szCs w:val="18"/>
              </w:rPr>
            </w:pPr>
            <w:r>
              <w:rPr>
                <w:rFonts w:eastAsia="仿宋"/>
                <w:sz w:val="18"/>
                <w:szCs w:val="18"/>
              </w:rPr>
              <w:t>77</w:t>
            </w:r>
          </w:p>
        </w:tc>
        <w:tc>
          <w:tcPr>
            <w:tcW w:w="907" w:type="dxa"/>
            <w:shd w:val="clear" w:color="auto" w:fill="auto"/>
            <w:noWrap/>
            <w:vAlign w:val="center"/>
          </w:tcPr>
          <w:p>
            <w:pPr>
              <w:widowControl/>
              <w:jc w:val="center"/>
              <w:rPr>
                <w:rFonts w:eastAsia="仿宋"/>
                <w:sz w:val="18"/>
                <w:szCs w:val="18"/>
              </w:rPr>
            </w:pPr>
            <w:r>
              <w:rPr>
                <w:rFonts w:eastAsia="仿宋"/>
                <w:sz w:val="18"/>
                <w:szCs w:val="18"/>
              </w:rPr>
              <w:t>75</w:t>
            </w:r>
          </w:p>
        </w:tc>
        <w:tc>
          <w:tcPr>
            <w:tcW w:w="907" w:type="dxa"/>
            <w:shd w:val="clear" w:color="auto" w:fill="auto"/>
            <w:noWrap/>
            <w:vAlign w:val="center"/>
          </w:tcPr>
          <w:p>
            <w:pPr>
              <w:widowControl/>
              <w:jc w:val="center"/>
              <w:rPr>
                <w:rFonts w:eastAsia="仿宋"/>
                <w:sz w:val="18"/>
                <w:szCs w:val="18"/>
              </w:rPr>
            </w:pPr>
            <w:r>
              <w:rPr>
                <w:rFonts w:eastAsia="仿宋"/>
                <w:sz w:val="18"/>
                <w:szCs w:val="18"/>
              </w:rPr>
              <w:t>75</w:t>
            </w:r>
          </w:p>
        </w:tc>
        <w:tc>
          <w:tcPr>
            <w:tcW w:w="907" w:type="dxa"/>
            <w:shd w:val="clear" w:color="auto" w:fill="auto"/>
            <w:noWrap/>
            <w:vAlign w:val="center"/>
          </w:tcPr>
          <w:p>
            <w:pPr>
              <w:widowControl/>
              <w:jc w:val="center"/>
              <w:rPr>
                <w:rFonts w:eastAsia="仿宋"/>
                <w:sz w:val="18"/>
                <w:szCs w:val="18"/>
              </w:rPr>
            </w:pPr>
            <w:r>
              <w:rPr>
                <w:rFonts w:eastAsia="仿宋"/>
                <w:sz w:val="18"/>
                <w:szCs w:val="18"/>
              </w:rPr>
              <w:t>75</w:t>
            </w:r>
          </w:p>
        </w:tc>
        <w:tc>
          <w:tcPr>
            <w:tcW w:w="907" w:type="dxa"/>
            <w:shd w:val="clear" w:color="auto" w:fill="auto"/>
            <w:noWrap/>
            <w:vAlign w:val="center"/>
          </w:tcPr>
          <w:p>
            <w:pPr>
              <w:widowControl/>
              <w:jc w:val="center"/>
              <w:rPr>
                <w:rFonts w:eastAsia="仿宋"/>
                <w:sz w:val="18"/>
                <w:szCs w:val="18"/>
              </w:rPr>
            </w:pPr>
            <w:r>
              <w:rPr>
                <w:rFonts w:eastAsia="仿宋"/>
                <w:sz w:val="18"/>
                <w:szCs w:val="18"/>
              </w:rPr>
              <w:t>75</w:t>
            </w:r>
          </w:p>
        </w:tc>
      </w:tr>
    </w:tbl>
    <w:p>
      <w:pPr>
        <w:snapToGrid w:val="0"/>
        <w:spacing w:before="62" w:beforeLines="20"/>
        <w:ind w:firstLine="300" w:firstLineChars="200"/>
        <w:rPr>
          <w:rFonts w:eastAsia="仿宋"/>
          <w:sz w:val="15"/>
          <w:szCs w:val="15"/>
        </w:rPr>
      </w:pPr>
      <w:r>
        <w:rPr>
          <w:rFonts w:eastAsia="仿宋"/>
          <w:sz w:val="15"/>
          <w:szCs w:val="15"/>
        </w:rPr>
        <w:t>注：括号内为</w:t>
      </w:r>
      <w:r>
        <w:rPr>
          <w:rFonts w:hint="eastAsia" w:eastAsia="仿宋"/>
          <w:sz w:val="15"/>
          <w:szCs w:val="15"/>
        </w:rPr>
        <w:t>省份层面的聚类标准误。</w:t>
      </w:r>
      <w:r>
        <w:rPr>
          <w:rFonts w:eastAsia="仿宋"/>
          <w:sz w:val="15"/>
          <w:szCs w:val="15"/>
        </w:rPr>
        <w:t>控制变量结果未列出</w:t>
      </w:r>
      <w:r>
        <w:rPr>
          <w:rFonts w:hint="eastAsia" w:eastAsia="仿宋"/>
          <w:sz w:val="15"/>
          <w:szCs w:val="15"/>
        </w:rPr>
        <w:t>，包括滞后一期的G</w:t>
      </w:r>
      <w:r>
        <w:rPr>
          <w:rFonts w:eastAsia="仿宋"/>
          <w:sz w:val="15"/>
          <w:szCs w:val="15"/>
        </w:rPr>
        <w:t>DP</w:t>
      </w:r>
      <w:r>
        <w:rPr>
          <w:rFonts w:hint="eastAsia" w:eastAsia="仿宋"/>
          <w:sz w:val="15"/>
          <w:szCs w:val="15"/>
        </w:rPr>
        <w:t>总额的对数、GDP增长率、C</w:t>
      </w:r>
      <w:r>
        <w:rPr>
          <w:rFonts w:eastAsia="仿宋"/>
          <w:sz w:val="15"/>
          <w:szCs w:val="15"/>
        </w:rPr>
        <w:t>PI</w:t>
      </w:r>
      <w:r>
        <w:rPr>
          <w:rFonts w:hint="eastAsia" w:eastAsia="仿宋"/>
          <w:sz w:val="15"/>
          <w:szCs w:val="15"/>
        </w:rPr>
        <w:t>、城镇工资对数、财政支出占G</w:t>
      </w:r>
      <w:r>
        <w:rPr>
          <w:rFonts w:eastAsia="仿宋"/>
          <w:sz w:val="15"/>
          <w:szCs w:val="15"/>
        </w:rPr>
        <w:t>DP</w:t>
      </w:r>
      <w:r>
        <w:rPr>
          <w:rFonts w:hint="eastAsia" w:eastAsia="仿宋"/>
          <w:sz w:val="15"/>
          <w:szCs w:val="15"/>
        </w:rPr>
        <w:t>比重、第二产业就业人数占比、城镇单位就业人员规模，</w:t>
      </w:r>
      <w:r>
        <w:rPr>
          <w:rFonts w:eastAsia="仿宋"/>
          <w:sz w:val="15"/>
          <w:szCs w:val="15"/>
        </w:rPr>
        <w:t>若有需要可联系作者</w:t>
      </w:r>
      <w:r>
        <w:rPr>
          <w:rFonts w:hint="eastAsia" w:eastAsia="仿宋"/>
          <w:sz w:val="15"/>
          <w:szCs w:val="15"/>
        </w:rPr>
        <w:t>。</w:t>
      </w:r>
    </w:p>
    <w:p>
      <w:pPr>
        <w:pStyle w:val="17"/>
        <w:spacing w:before="0" w:beforeLines="0" w:after="0" w:afterLines="0"/>
        <w:ind w:firstLine="420"/>
        <w:jc w:val="left"/>
      </w:pPr>
    </w:p>
    <w:p>
      <w:pPr>
        <w:widowControl/>
        <w:ind w:firstLine="562"/>
        <w:jc w:val="left"/>
        <w:rPr>
          <w:rFonts w:eastAsia="楷体"/>
          <w:bCs/>
          <w:kern w:val="2"/>
          <w:sz w:val="28"/>
          <w:szCs w:val="28"/>
        </w:rPr>
      </w:pPr>
      <w:r>
        <w:rPr>
          <w:rFonts w:eastAsia="楷体"/>
          <w:b/>
          <w:kern w:val="2"/>
          <w:sz w:val="28"/>
          <w:szCs w:val="28"/>
        </w:rPr>
        <w:br w:type="page"/>
      </w:r>
    </w:p>
    <w:p>
      <w:pPr>
        <w:pStyle w:val="2"/>
        <w:rPr>
          <w:rFonts w:eastAsia="楷体"/>
          <w:b w:val="0"/>
          <w:kern w:val="2"/>
          <w:sz w:val="28"/>
          <w:szCs w:val="28"/>
        </w:rPr>
      </w:pPr>
      <w:bookmarkStart w:id="4" w:name="_Toc164957360"/>
      <w:r>
        <w:rPr>
          <w:rFonts w:eastAsia="楷体"/>
          <w:b w:val="0"/>
          <w:kern w:val="2"/>
          <w:sz w:val="28"/>
          <w:szCs w:val="28"/>
        </w:rPr>
        <w:t>附录I</w:t>
      </w:r>
      <w:r>
        <w:rPr>
          <w:rFonts w:hint="eastAsia" w:eastAsia="楷体"/>
          <w:b w:val="0"/>
          <w:kern w:val="2"/>
          <w:sz w:val="28"/>
          <w:szCs w:val="28"/>
        </w:rPr>
        <w:t>II  稳健性检验</w:t>
      </w:r>
      <w:bookmarkEnd w:id="4"/>
    </w:p>
    <w:p>
      <w:pPr>
        <w:pStyle w:val="17"/>
        <w:spacing w:before="0" w:beforeLines="0" w:after="0" w:afterLines="0"/>
        <w:ind w:firstLine="420"/>
        <w:jc w:val="both"/>
        <w:rPr>
          <w:rFonts w:eastAsia="仿宋"/>
          <w:szCs w:val="22"/>
        </w:rPr>
      </w:pPr>
      <w:r>
        <w:rPr>
          <w:rFonts w:hint="eastAsia" w:eastAsia="仿宋"/>
          <w:szCs w:val="22"/>
        </w:rPr>
        <w:t>本文可能存在以下三方面的内生性来源：第一，虽然在回归模型中，本文已经通过控制企业、省份与年份固定效应和一系列企业与省份的特征变量来捕捉会同时影响稳就业压力与企业投资、研发、雇员行为的因素，但可能还有其他无法观测的变量会同时影响上述表现。第二，尽管企业投资、研发与雇员是企业层面的数据，而稳就业压力是省份层面的数据并且滞后一期，能够部分缓解反向因果关系，但仍不能完全排除。第三，本文的核心解释变量“稳就业压力”可能存在测量误差的问题。</w:t>
      </w:r>
    </w:p>
    <w:p>
      <w:pPr>
        <w:pStyle w:val="17"/>
        <w:spacing w:before="0" w:beforeLines="0" w:after="0" w:afterLines="0"/>
        <w:ind w:firstLine="420"/>
        <w:jc w:val="both"/>
        <w:rPr>
          <w:rFonts w:eastAsia="仿宋"/>
          <w:szCs w:val="22"/>
        </w:rPr>
      </w:pPr>
      <w:r>
        <w:rPr>
          <w:rFonts w:hint="eastAsia" w:eastAsia="仿宋"/>
          <w:szCs w:val="22"/>
        </w:rPr>
        <w:t>针对以上三种可能出现内生性的原因，本文从两方面进行稳健性检验。一方面，构建稳就业压力</w:t>
      </w:r>
      <w:r>
        <w:rPr>
          <w:rFonts w:eastAsia="仿宋"/>
          <w:szCs w:val="22"/>
        </w:rPr>
        <w:t>的多个替代性指标进行稳健性估计。第一，考虑到</w:t>
      </w:r>
      <w:r>
        <w:rPr>
          <w:rFonts w:eastAsia="仿宋"/>
          <w:i/>
          <w:iCs/>
          <w:szCs w:val="22"/>
        </w:rPr>
        <w:t>Pressure</w:t>
      </w:r>
      <w:r>
        <w:rPr>
          <w:rFonts w:eastAsia="仿宋"/>
          <w:szCs w:val="22"/>
        </w:rPr>
        <w:t>是类别变量，可能有一定内生性问题，将其替换为虚拟变量（</w:t>
      </w:r>
      <w:r>
        <w:rPr>
          <w:rFonts w:eastAsia="仿宋"/>
          <w:i/>
          <w:iCs/>
          <w:szCs w:val="22"/>
        </w:rPr>
        <w:t>Pressure2</w:t>
      </w:r>
      <w:r>
        <w:rPr>
          <w:rFonts w:eastAsia="仿宋"/>
          <w:szCs w:val="22"/>
        </w:rPr>
        <w:t>），即各省就业率排名退步为1，进步与不变均为0。第二，使用K值最临近空间法，选取某省最临近的4个省份的就业率进行比较，计算组内各省的就业率排名（</w:t>
      </w:r>
      <w:r>
        <w:rPr>
          <w:rFonts w:eastAsia="仿宋"/>
          <w:i/>
          <w:iCs/>
          <w:szCs w:val="22"/>
        </w:rPr>
        <w:t>Pressure3</w:t>
      </w:r>
      <w:r>
        <w:rPr>
          <w:rFonts w:eastAsia="仿宋"/>
          <w:szCs w:val="22"/>
        </w:rPr>
        <w:t>），若该省当年就业率排名退步，则取值为1，不变为0，进步为-1。附表III1报告企业投资与稳就业成效的稳健性检验结果，结果一致。</w:t>
      </w:r>
    </w:p>
    <w:p>
      <w:pPr>
        <w:adjustRightInd w:val="0"/>
        <w:snapToGrid w:val="0"/>
        <w:ind w:firstLine="420" w:firstLineChars="200"/>
        <w:rPr>
          <w:rFonts w:eastAsia="仿宋"/>
          <w:sz w:val="21"/>
          <w:szCs w:val="21"/>
        </w:rPr>
      </w:pPr>
      <w:r>
        <w:rPr>
          <w:rFonts w:eastAsia="仿宋"/>
          <w:sz w:val="21"/>
          <w:szCs w:val="21"/>
        </w:rPr>
        <w:t>另一方面，本文采用工具变量法进行稳健性估计，</w:t>
      </w:r>
      <w:r>
        <w:rPr>
          <w:rFonts w:hint="eastAsia" w:eastAsia="仿宋"/>
          <w:sz w:val="21"/>
          <w:szCs w:val="21"/>
        </w:rPr>
        <w:t>结果报告在正文表7中，</w:t>
      </w:r>
      <w:r>
        <w:rPr>
          <w:rFonts w:eastAsia="仿宋"/>
          <w:sz w:val="21"/>
          <w:szCs w:val="21"/>
        </w:rPr>
        <w:t>结果一致。</w:t>
      </w:r>
      <w:r>
        <w:rPr>
          <w:rFonts w:hint="eastAsia" w:eastAsia="仿宋"/>
          <w:sz w:val="21"/>
          <w:szCs w:val="21"/>
        </w:rPr>
        <w:t>此外</w:t>
      </w:r>
      <w:r>
        <w:rPr>
          <w:rFonts w:eastAsia="仿宋"/>
          <w:sz w:val="21"/>
          <w:szCs w:val="21"/>
        </w:rPr>
        <w:t>，本文也尝试将2008年全球经济危机作为外生冲击，并使用工具变量回归对主要结果进行稳健性检验。具体而言，2008年9月，全球经济危机爆发，对</w:t>
      </w:r>
      <w:r>
        <w:rPr>
          <w:rFonts w:hint="eastAsia" w:eastAsia="仿宋"/>
          <w:sz w:val="21"/>
          <w:szCs w:val="21"/>
        </w:rPr>
        <w:t>我国</w:t>
      </w:r>
      <w:r>
        <w:rPr>
          <w:rFonts w:eastAsia="仿宋"/>
          <w:sz w:val="21"/>
          <w:szCs w:val="21"/>
        </w:rPr>
        <w:t>经济和就业都造成了严重冲击。2008年第四季度，我国进出口规模显著下降，较2008年第3季度下降18.8%；其中，2008年11月，进出口总额同比下降9%，环比下降26.6%。2008年底，中国经济增速较2007年末下降4.5个百分点。同时，中国社会科学院发布的《社会蓝皮书》显示，2008年中国城镇实际失业率高达9.6%。对我国而言，全球经济危机是外需的整体性冲击。</w:t>
      </w:r>
      <w:r>
        <w:rPr>
          <w:rFonts w:hint="eastAsia" w:eastAsia="仿宋"/>
          <w:sz w:val="21"/>
          <w:szCs w:val="21"/>
        </w:rPr>
        <w:t>因此，</w:t>
      </w:r>
      <w:r>
        <w:rPr>
          <w:rFonts w:eastAsia="仿宋"/>
          <w:sz w:val="21"/>
          <w:szCs w:val="21"/>
        </w:rPr>
        <w:t>在外需骤降的大背景下，出口依赖度更高的省份，在就业上受到的冲击更大</w:t>
      </w:r>
      <w:r>
        <w:rPr>
          <w:rFonts w:hint="eastAsia" w:ascii="仿宋" w:hAnsi="仿宋" w:eastAsia="仿宋" w:cs="仿宋"/>
          <w:sz w:val="21"/>
          <w:szCs w:val="21"/>
        </w:rPr>
        <w:t>，其“稳就业”压力也更大，相关</w:t>
      </w:r>
      <w:r>
        <w:rPr>
          <w:rFonts w:eastAsia="仿宋"/>
          <w:sz w:val="21"/>
          <w:szCs w:val="21"/>
        </w:rPr>
        <w:t>的宏观经济数据也佐证了这一点。</w:t>
      </w:r>
    </w:p>
    <w:p>
      <w:pPr>
        <w:adjustRightInd w:val="0"/>
        <w:snapToGrid w:val="0"/>
        <w:ind w:firstLine="420" w:firstLineChars="200"/>
        <w:rPr>
          <w:rFonts w:eastAsia="仿宋"/>
          <w:sz w:val="21"/>
          <w:szCs w:val="21"/>
        </w:rPr>
      </w:pPr>
      <w:r>
        <w:rPr>
          <w:rFonts w:eastAsia="仿宋"/>
          <w:sz w:val="21"/>
          <w:szCs w:val="21"/>
        </w:rPr>
        <w:t>基于上述分析，本文选用2009年为样本期间，并采用2007年底各省的出口依赖度作为工具变量进行2SLS回归。这主要是</w:t>
      </w:r>
      <w:r>
        <w:rPr>
          <w:rFonts w:hint="eastAsia" w:eastAsia="仿宋"/>
          <w:sz w:val="21"/>
          <w:szCs w:val="21"/>
        </w:rPr>
        <w:t>考虑到</w:t>
      </w:r>
      <w:r>
        <w:rPr>
          <w:rFonts w:eastAsia="仿宋"/>
          <w:sz w:val="21"/>
          <w:szCs w:val="21"/>
        </w:rPr>
        <w:t>若某一省份2007年底的出口依赖度越高，其受到2008年全球经济危机对就业的冲击就越大，在2008年底的稳就业压力也越大，满足工具变量的相关性要求。同时，在排他性方面，各省份2007年底的出口依赖度与2009年本省份企业的投资、雇员与研发行为并无直接关联。此处，本文构建三个指标来度量2007年底各省份的出口依赖度，以交叉检验分析结果的稳健性：（1）</w:t>
      </w:r>
      <w:r>
        <w:rPr>
          <w:rFonts w:eastAsia="仿宋"/>
          <w:i/>
          <w:iCs/>
          <w:sz w:val="21"/>
          <w:szCs w:val="21"/>
        </w:rPr>
        <w:t>IV</w:t>
      </w:r>
      <w:r>
        <w:rPr>
          <w:rFonts w:hint="eastAsia" w:eastAsia="仿宋"/>
          <w:i/>
          <w:iCs/>
          <w:sz w:val="21"/>
          <w:szCs w:val="21"/>
        </w:rPr>
        <w:t>1</w:t>
      </w:r>
      <w:r>
        <w:rPr>
          <w:rFonts w:eastAsia="仿宋"/>
          <w:i/>
          <w:iCs/>
          <w:sz w:val="21"/>
          <w:szCs w:val="21"/>
          <w:vertAlign w:val="subscript"/>
        </w:rPr>
        <w:t>p,2007</w:t>
      </w:r>
      <w:r>
        <w:rPr>
          <w:rFonts w:eastAsia="仿宋"/>
          <w:sz w:val="21"/>
          <w:szCs w:val="21"/>
        </w:rPr>
        <w:t>：若该省2007年经营单位所在地出口额位于全国前25%取值为1，否则为0；（2）</w:t>
      </w:r>
      <w:r>
        <w:rPr>
          <w:rFonts w:eastAsia="仿宋"/>
          <w:i/>
          <w:iCs/>
          <w:sz w:val="21"/>
          <w:szCs w:val="21"/>
        </w:rPr>
        <w:t>IV</w:t>
      </w:r>
      <w:r>
        <w:rPr>
          <w:rFonts w:hint="eastAsia" w:eastAsia="仿宋"/>
          <w:i/>
          <w:iCs/>
          <w:sz w:val="21"/>
          <w:szCs w:val="21"/>
        </w:rPr>
        <w:t>2</w:t>
      </w:r>
      <w:r>
        <w:rPr>
          <w:rFonts w:eastAsia="仿宋"/>
          <w:i/>
          <w:iCs/>
          <w:sz w:val="21"/>
          <w:szCs w:val="21"/>
          <w:vertAlign w:val="subscript"/>
        </w:rPr>
        <w:t>p,2007</w:t>
      </w:r>
      <w:r>
        <w:rPr>
          <w:rFonts w:eastAsia="仿宋"/>
          <w:sz w:val="21"/>
          <w:szCs w:val="21"/>
        </w:rPr>
        <w:t>：若该省2007年境内货源地出口额位于全国前25%取值为1，否则为0；（3）</w:t>
      </w:r>
      <w:r>
        <w:rPr>
          <w:rFonts w:eastAsia="仿宋"/>
          <w:i/>
          <w:iCs/>
          <w:sz w:val="21"/>
          <w:szCs w:val="21"/>
        </w:rPr>
        <w:t>IV</w:t>
      </w:r>
      <w:r>
        <w:rPr>
          <w:rFonts w:hint="eastAsia" w:eastAsia="仿宋"/>
          <w:i/>
          <w:iCs/>
          <w:sz w:val="21"/>
          <w:szCs w:val="21"/>
        </w:rPr>
        <w:t>3</w:t>
      </w:r>
      <w:r>
        <w:rPr>
          <w:rFonts w:eastAsia="仿宋"/>
          <w:i/>
          <w:iCs/>
          <w:sz w:val="21"/>
          <w:szCs w:val="21"/>
          <w:vertAlign w:val="subscript"/>
        </w:rPr>
        <w:t>p,2007</w:t>
      </w:r>
      <w:r>
        <w:rPr>
          <w:rFonts w:eastAsia="仿宋"/>
          <w:sz w:val="21"/>
          <w:szCs w:val="21"/>
        </w:rPr>
        <w:t>：若该省2007年经营单位所在地出口额</w:t>
      </w:r>
      <w:r>
        <w:rPr>
          <w:rFonts w:hint="eastAsia" w:eastAsia="仿宋"/>
          <w:sz w:val="21"/>
          <w:szCs w:val="21"/>
        </w:rPr>
        <w:t>与</w:t>
      </w:r>
      <w:r>
        <w:rPr>
          <w:rFonts w:eastAsia="仿宋"/>
          <w:sz w:val="21"/>
          <w:szCs w:val="21"/>
        </w:rPr>
        <w:t>GDP</w:t>
      </w:r>
      <w:r>
        <w:rPr>
          <w:rFonts w:hint="eastAsia" w:eastAsia="仿宋"/>
          <w:sz w:val="21"/>
          <w:szCs w:val="21"/>
        </w:rPr>
        <w:t>的比值</w:t>
      </w:r>
      <w:r>
        <w:rPr>
          <w:rFonts w:eastAsia="仿宋"/>
          <w:sz w:val="21"/>
          <w:szCs w:val="21"/>
        </w:rPr>
        <w:t>位于全国前25%取值为1，否则为0。</w:t>
      </w:r>
      <w:r>
        <w:rPr>
          <w:rFonts w:hint="eastAsia" w:eastAsia="仿宋"/>
          <w:sz w:val="21"/>
          <w:szCs w:val="21"/>
        </w:rPr>
        <w:t>本文也选取各变量的中位数构建相关工具变量，回归结果一致。</w:t>
      </w:r>
    </w:p>
    <w:p>
      <w:pPr>
        <w:pStyle w:val="17"/>
        <w:spacing w:before="0" w:beforeLines="0" w:after="0" w:afterLines="0"/>
        <w:ind w:firstLine="420"/>
        <w:jc w:val="both"/>
        <w:rPr>
          <w:rFonts w:eastAsia="仿宋"/>
          <w:szCs w:val="22"/>
        </w:rPr>
      </w:pPr>
      <w:r>
        <w:rPr>
          <w:rFonts w:eastAsia="仿宋"/>
          <w:szCs w:val="21"/>
        </w:rPr>
        <w:t>附表</w:t>
      </w:r>
      <w:r>
        <w:rPr>
          <w:rFonts w:hint="eastAsia" w:eastAsia="仿宋"/>
          <w:szCs w:val="21"/>
        </w:rPr>
        <w:t>III2</w:t>
      </w:r>
      <w:r>
        <w:rPr>
          <w:rFonts w:eastAsia="仿宋"/>
          <w:szCs w:val="21"/>
        </w:rPr>
        <w:t>报告</w:t>
      </w:r>
      <w:r>
        <w:rPr>
          <w:rFonts w:ascii="仿宋" w:hAnsi="仿宋" w:eastAsia="仿宋"/>
          <w:szCs w:val="21"/>
        </w:rPr>
        <w:t>“稳就业”压力对企</w:t>
      </w:r>
      <w:r>
        <w:rPr>
          <w:rFonts w:eastAsia="仿宋"/>
          <w:szCs w:val="21"/>
        </w:rPr>
        <w:t>业研发行为的</w:t>
      </w:r>
      <w:r>
        <w:rPr>
          <w:rFonts w:hint="eastAsia" w:eastAsia="仿宋"/>
          <w:szCs w:val="21"/>
        </w:rPr>
        <w:t>前述</w:t>
      </w:r>
      <w:r>
        <w:rPr>
          <w:rFonts w:eastAsia="仿宋"/>
          <w:szCs w:val="21"/>
        </w:rPr>
        <w:t>工具变量回归结果。</w:t>
      </w:r>
      <w:r>
        <w:rPr>
          <w:rFonts w:hint="eastAsia" w:eastAsia="仿宋"/>
          <w:szCs w:val="21"/>
        </w:rPr>
        <w:t>其中</w:t>
      </w:r>
      <w:r>
        <w:rPr>
          <w:rFonts w:eastAsia="仿宋"/>
          <w:szCs w:val="21"/>
        </w:rPr>
        <w:t>，被解释变量分别为2009年企业专利总量（第1-4列）与企业专利申请总量（第5-8列），解释变量为各省2008年就业率排名的变化（</w:t>
      </w:r>
      <w:r>
        <w:rPr>
          <w:rFonts w:eastAsia="仿宋"/>
          <w:i/>
          <w:iCs/>
          <w:szCs w:val="21"/>
        </w:rPr>
        <w:t>Pressure</w:t>
      </w:r>
      <w:r>
        <w:rPr>
          <w:rFonts w:eastAsia="仿宋"/>
          <w:szCs w:val="21"/>
        </w:rPr>
        <w:t>，退步取值为1，不变为0，进步为-1）。Panel A</w:t>
      </w:r>
      <w:r>
        <w:rPr>
          <w:rFonts w:hint="eastAsia" w:eastAsia="仿宋"/>
          <w:szCs w:val="21"/>
        </w:rPr>
        <w:t>—</w:t>
      </w:r>
      <w:r>
        <w:rPr>
          <w:rFonts w:eastAsia="仿宋"/>
          <w:szCs w:val="21"/>
        </w:rPr>
        <w:t>Panel C中分别报告采用</w:t>
      </w:r>
      <w:r>
        <w:rPr>
          <w:rFonts w:eastAsia="仿宋"/>
          <w:i/>
          <w:iCs/>
          <w:szCs w:val="21"/>
        </w:rPr>
        <w:t>IV</w:t>
      </w:r>
      <w:r>
        <w:rPr>
          <w:rFonts w:hint="eastAsia" w:eastAsia="仿宋"/>
          <w:i/>
          <w:iCs/>
          <w:szCs w:val="21"/>
        </w:rPr>
        <w:t>1</w:t>
      </w:r>
      <w:r>
        <w:rPr>
          <w:rFonts w:eastAsia="仿宋"/>
          <w:i/>
          <w:iCs/>
          <w:szCs w:val="21"/>
          <w:vertAlign w:val="subscript"/>
        </w:rPr>
        <w:t>p,2007</w:t>
      </w:r>
      <w:r>
        <w:rPr>
          <w:rFonts w:eastAsia="仿宋"/>
          <w:szCs w:val="21"/>
        </w:rPr>
        <w:t>、</w:t>
      </w:r>
      <w:r>
        <w:rPr>
          <w:rFonts w:eastAsia="仿宋"/>
          <w:i/>
          <w:iCs/>
          <w:szCs w:val="21"/>
        </w:rPr>
        <w:t>IV</w:t>
      </w:r>
      <w:r>
        <w:rPr>
          <w:rFonts w:hint="eastAsia" w:eastAsia="仿宋"/>
          <w:i/>
          <w:iCs/>
          <w:szCs w:val="21"/>
        </w:rPr>
        <w:t>2</w:t>
      </w:r>
      <w:r>
        <w:rPr>
          <w:rFonts w:eastAsia="仿宋"/>
          <w:i/>
          <w:iCs/>
          <w:szCs w:val="21"/>
          <w:vertAlign w:val="subscript"/>
        </w:rPr>
        <w:t>p,2007</w:t>
      </w:r>
      <w:r>
        <w:rPr>
          <w:rFonts w:eastAsia="仿宋"/>
          <w:szCs w:val="21"/>
        </w:rPr>
        <w:t>与</w:t>
      </w:r>
      <w:r>
        <w:rPr>
          <w:rFonts w:eastAsia="仿宋"/>
          <w:i/>
          <w:iCs/>
          <w:szCs w:val="21"/>
        </w:rPr>
        <w:t>IV</w:t>
      </w:r>
      <w:r>
        <w:rPr>
          <w:rFonts w:hint="eastAsia" w:eastAsia="仿宋"/>
          <w:i/>
          <w:iCs/>
          <w:szCs w:val="21"/>
        </w:rPr>
        <w:t>3</w:t>
      </w:r>
      <w:r>
        <w:rPr>
          <w:rFonts w:eastAsia="仿宋"/>
          <w:i/>
          <w:iCs/>
          <w:szCs w:val="21"/>
          <w:vertAlign w:val="subscript"/>
        </w:rPr>
        <w:t>p,2007</w:t>
      </w:r>
      <w:r>
        <w:rPr>
          <w:rFonts w:eastAsia="仿宋"/>
          <w:szCs w:val="21"/>
        </w:rPr>
        <w:t>作为工具变量的2SLS回归结果；单数列均为OLS回归的结果，双数列则为工具变量的第二阶段回归结果。由结果可见，工具变量回归结果与基准结果均一致。同时，在IV第一阶段的回归结果中，工具变量与解释变量均在1%显著性水平上通过检验，并且F值显著大于经验规则，表明不存在弱工具变量问题。此外，本文也将工具变量加入到基准回归（OLS）中进行工具变量外生性检验，结果表明工具变量满足外生性要求。</w:t>
      </w:r>
    </w:p>
    <w:p>
      <w:pPr>
        <w:adjustRightInd w:val="0"/>
        <w:snapToGrid w:val="0"/>
        <w:ind w:firstLine="420" w:firstLineChars="200"/>
        <w:rPr>
          <w:rFonts w:eastAsia="仿宋"/>
          <w:sz w:val="21"/>
          <w:szCs w:val="21"/>
        </w:rPr>
      </w:pPr>
    </w:p>
    <w:p>
      <w:pPr>
        <w:widowControl/>
        <w:ind w:firstLine="400"/>
        <w:jc w:val="left"/>
        <w:rPr>
          <w:rFonts w:eastAsia="楷体"/>
          <w:kern w:val="2"/>
          <w:sz w:val="21"/>
          <w:szCs w:val="24"/>
        </w:rPr>
      </w:pPr>
      <w:r>
        <w:br w:type="page"/>
      </w:r>
    </w:p>
    <w:p>
      <w:pPr>
        <w:pStyle w:val="17"/>
        <w:spacing w:before="312" w:beforeLines="100" w:after="156"/>
        <w:ind w:firstLine="420"/>
        <w:rPr>
          <w:rFonts w:hint="eastAsia" w:ascii="宋体" w:hAnsi="宋体" w:eastAsia="宋体" w:cs="宋体"/>
          <w:b/>
          <w:bCs/>
          <w:sz w:val="20"/>
          <w:szCs w:val="22"/>
        </w:rPr>
      </w:pPr>
      <w:r>
        <w:rPr>
          <w:rFonts w:hint="eastAsia" w:ascii="宋体" w:hAnsi="宋体" w:eastAsia="宋体" w:cs="宋体"/>
          <w:b/>
          <w:bCs/>
          <w:sz w:val="20"/>
          <w:szCs w:val="22"/>
        </w:rPr>
        <w:t>表III1  企业投资与稳就业成效：稳健性检验</w:t>
      </w:r>
    </w:p>
    <w:tbl>
      <w:tblPr>
        <w:tblStyle w:val="9"/>
        <w:tblW w:w="8291"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7"/>
        <w:gridCol w:w="964"/>
        <w:gridCol w:w="964"/>
        <w:gridCol w:w="964"/>
        <w:gridCol w:w="964"/>
        <w:gridCol w:w="964"/>
        <w:gridCol w:w="964"/>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vMerge w:val="restart"/>
            <w:tcBorders>
              <w:top w:val="single" w:color="auto" w:sz="8" w:space="0"/>
            </w:tcBorders>
            <w:shd w:val="clear" w:color="auto" w:fill="auto"/>
            <w:noWrap/>
            <w:vAlign w:val="center"/>
          </w:tcPr>
          <w:p>
            <w:pPr>
              <w:adjustRightInd w:val="0"/>
              <w:snapToGrid w:val="0"/>
              <w:jc w:val="center"/>
              <w:rPr>
                <w:rFonts w:eastAsia="仿宋"/>
                <w:sz w:val="18"/>
                <w:szCs w:val="18"/>
              </w:rPr>
            </w:pPr>
            <w:r>
              <w:rPr>
                <w:rFonts w:hint="eastAsia" w:eastAsia="仿宋"/>
                <w:sz w:val="18"/>
                <w:szCs w:val="18"/>
              </w:rPr>
              <w:t>变量</w:t>
            </w:r>
          </w:p>
        </w:tc>
        <w:tc>
          <w:tcPr>
            <w:tcW w:w="5784" w:type="dxa"/>
            <w:gridSpan w:val="6"/>
            <w:tcBorders>
              <w:top w:val="single" w:color="auto" w:sz="8" w:space="0"/>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hint="eastAsia" w:eastAsia="仿宋"/>
                <w:sz w:val="18"/>
                <w:szCs w:val="18"/>
              </w:rPr>
              <w:t>l</w:t>
            </w:r>
            <w:r>
              <w:rPr>
                <w:rFonts w:eastAsia="仿宋"/>
                <w:sz w:val="18"/>
                <w:szCs w:val="18"/>
              </w:rPr>
              <w:t>n(</w:t>
            </w:r>
            <w:r>
              <w:rPr>
                <w:rFonts w:hint="eastAsia" w:eastAsia="仿宋"/>
                <w:i/>
                <w:iCs/>
                <w:sz w:val="18"/>
                <w:szCs w:val="18"/>
              </w:rPr>
              <w:t>employees</w:t>
            </w:r>
            <w:r>
              <w:rPr>
                <w:rFonts w:eastAsia="仿宋"/>
                <w:sz w:val="18"/>
                <w:szCs w:val="18"/>
              </w:rPr>
              <w:t>)</w:t>
            </w:r>
            <w:r>
              <w:rPr>
                <w:rFonts w:eastAsia="仿宋"/>
                <w:i/>
                <w:iCs/>
                <w:sz w:val="18"/>
                <w:szCs w:val="18"/>
                <w:vertAlign w:val="subscript"/>
              </w:rPr>
              <w:t>i</w:t>
            </w:r>
            <w:r>
              <w:rPr>
                <w:rFonts w:hint="eastAsia" w:eastAsia="仿宋"/>
                <w:i/>
                <w:iCs/>
                <w:sz w:val="18"/>
                <w:szCs w:val="18"/>
                <w:vertAlign w:val="subscript"/>
              </w:rPr>
              <w:t>,</w:t>
            </w:r>
            <w:r>
              <w:rPr>
                <w:rFonts w:eastAsia="仿宋"/>
                <w:i/>
                <w:iCs/>
                <w:sz w:val="18"/>
                <w:szCs w:val="18"/>
                <w:vertAlign w:val="subscript"/>
              </w:rPr>
              <w:t xml:space="preserve"> 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vMerge w:val="continue"/>
            <w:shd w:val="clear" w:color="auto" w:fill="auto"/>
            <w:noWrap/>
            <w:vAlign w:val="center"/>
          </w:tcPr>
          <w:p>
            <w:pPr>
              <w:adjustRightInd w:val="0"/>
              <w:snapToGrid w:val="0"/>
              <w:rPr>
                <w:rFonts w:eastAsia="仿宋"/>
                <w:sz w:val="18"/>
                <w:szCs w:val="18"/>
              </w:rPr>
            </w:pP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5"/>
                <w:szCs w:val="18"/>
              </w:rPr>
            </w:pPr>
            <w:r>
              <w:rPr>
                <w:rFonts w:hint="eastAsia" w:eastAsia="仿宋"/>
                <w:sz w:val="15"/>
                <w:szCs w:val="18"/>
              </w:rPr>
              <w:t>欠发达</w:t>
            </w:r>
          </w:p>
          <w:p>
            <w:pPr>
              <w:widowControl/>
              <w:adjustRightInd w:val="0"/>
              <w:snapToGrid w:val="0"/>
              <w:jc w:val="center"/>
              <w:rPr>
                <w:rFonts w:eastAsia="仿宋"/>
                <w:sz w:val="15"/>
                <w:szCs w:val="18"/>
              </w:rPr>
            </w:pPr>
            <w:r>
              <w:rPr>
                <w:rFonts w:hint="eastAsia" w:eastAsia="仿宋"/>
                <w:sz w:val="15"/>
                <w:szCs w:val="18"/>
              </w:rPr>
              <w:t>地区</w:t>
            </w: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5"/>
                <w:szCs w:val="18"/>
              </w:rPr>
            </w:pPr>
            <w:r>
              <w:rPr>
                <w:rFonts w:hint="eastAsia" w:eastAsia="仿宋"/>
                <w:sz w:val="15"/>
                <w:szCs w:val="18"/>
              </w:rPr>
              <w:t>发达地区</w:t>
            </w: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5"/>
                <w:szCs w:val="18"/>
              </w:rPr>
            </w:pPr>
            <w:r>
              <w:rPr>
                <w:rFonts w:hint="eastAsia" w:eastAsia="仿宋"/>
                <w:sz w:val="15"/>
                <w:szCs w:val="18"/>
              </w:rPr>
              <w:t>欠发达</w:t>
            </w:r>
          </w:p>
          <w:p>
            <w:pPr>
              <w:widowControl/>
              <w:adjustRightInd w:val="0"/>
              <w:snapToGrid w:val="0"/>
              <w:jc w:val="center"/>
              <w:rPr>
                <w:rFonts w:eastAsia="仿宋"/>
                <w:sz w:val="15"/>
                <w:szCs w:val="18"/>
              </w:rPr>
            </w:pPr>
            <w:r>
              <w:rPr>
                <w:rFonts w:hint="eastAsia" w:eastAsia="仿宋"/>
                <w:sz w:val="15"/>
                <w:szCs w:val="18"/>
              </w:rPr>
              <w:t>地区</w:t>
            </w: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5"/>
                <w:szCs w:val="18"/>
              </w:rPr>
            </w:pPr>
            <w:r>
              <w:rPr>
                <w:rFonts w:hint="eastAsia" w:eastAsia="仿宋"/>
                <w:sz w:val="15"/>
                <w:szCs w:val="18"/>
              </w:rPr>
              <w:t>发达地区</w:t>
            </w: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5"/>
                <w:szCs w:val="18"/>
              </w:rPr>
            </w:pPr>
            <w:r>
              <w:rPr>
                <w:rFonts w:hint="eastAsia" w:eastAsia="仿宋"/>
                <w:sz w:val="15"/>
                <w:szCs w:val="18"/>
              </w:rPr>
              <w:t>欠发达</w:t>
            </w:r>
          </w:p>
          <w:p>
            <w:pPr>
              <w:widowControl/>
              <w:adjustRightInd w:val="0"/>
              <w:snapToGrid w:val="0"/>
              <w:jc w:val="center"/>
              <w:rPr>
                <w:rFonts w:eastAsia="仿宋"/>
                <w:sz w:val="15"/>
                <w:szCs w:val="18"/>
              </w:rPr>
            </w:pPr>
            <w:r>
              <w:rPr>
                <w:rFonts w:hint="eastAsia" w:eastAsia="仿宋"/>
                <w:sz w:val="15"/>
                <w:szCs w:val="18"/>
              </w:rPr>
              <w:t>地区</w:t>
            </w: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5"/>
                <w:szCs w:val="18"/>
              </w:rPr>
            </w:pPr>
            <w:r>
              <w:rPr>
                <w:rFonts w:hint="eastAsia" w:eastAsia="仿宋"/>
                <w:sz w:val="15"/>
                <w:szCs w:val="18"/>
              </w:rPr>
              <w:t>发达地区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vMerge w:val="continue"/>
            <w:tcBorders>
              <w:bottom w:val="single" w:color="auto" w:sz="4" w:space="0"/>
            </w:tcBorders>
            <w:shd w:val="clear" w:color="auto" w:fill="auto"/>
            <w:noWrap/>
            <w:vAlign w:val="center"/>
          </w:tcPr>
          <w:p>
            <w:pPr>
              <w:widowControl/>
              <w:adjustRightInd w:val="0"/>
              <w:snapToGrid w:val="0"/>
              <w:rPr>
                <w:rFonts w:eastAsia="仿宋"/>
                <w:sz w:val="18"/>
                <w:szCs w:val="18"/>
              </w:rPr>
            </w:pP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8"/>
                <w:szCs w:val="18"/>
              </w:rPr>
              <w:t>(1)</w:t>
            </w: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8"/>
                <w:szCs w:val="18"/>
              </w:rPr>
              <w:t>(2)</w:t>
            </w: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8"/>
                <w:szCs w:val="18"/>
              </w:rPr>
              <w:t>(3)</w:t>
            </w: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8"/>
                <w:szCs w:val="18"/>
              </w:rPr>
              <w:t>(4)</w:t>
            </w: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8"/>
                <w:szCs w:val="18"/>
              </w:rPr>
              <w:t>(5)</w:t>
            </w:r>
          </w:p>
        </w:tc>
        <w:tc>
          <w:tcPr>
            <w:tcW w:w="964" w:type="dxa"/>
            <w:tcBorders>
              <w:top w:val="single" w:color="auto" w:sz="4" w:space="0"/>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8"/>
                <w:szCs w:val="18"/>
              </w:rPr>
              <w:t>(6)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r>
              <w:rPr>
                <w:i/>
                <w:iCs/>
                <w:sz w:val="18"/>
                <w:szCs w:val="18"/>
              </w:rPr>
              <w:t>P</w:t>
            </w:r>
            <w:r>
              <w:rPr>
                <w:rFonts w:hint="eastAsia"/>
                <w:i/>
                <w:iCs/>
                <w:sz w:val="18"/>
                <w:szCs w:val="18"/>
              </w:rPr>
              <w:t>ressure</w:t>
            </w:r>
            <w:r>
              <w:rPr>
                <w:i/>
                <w:iCs/>
                <w:sz w:val="18"/>
                <w:szCs w:val="18"/>
              </w:rPr>
              <w:t>2</w:t>
            </w:r>
            <w:r>
              <w:rPr>
                <w:i/>
                <w:iCs/>
                <w:sz w:val="18"/>
                <w:szCs w:val="18"/>
                <w:vertAlign w:val="subscript"/>
              </w:rPr>
              <w:t>p,t-1</w:t>
            </w:r>
            <w:r>
              <w:rPr>
                <w:i/>
                <w:iCs/>
                <w:sz w:val="18"/>
                <w:szCs w:val="18"/>
              </w:rPr>
              <w:t>×BigF</w:t>
            </w:r>
            <w:r>
              <w:rPr>
                <w:i/>
                <w:iCs/>
                <w:sz w:val="18"/>
                <w:szCs w:val="18"/>
                <w:vertAlign w:val="subscript"/>
              </w:rPr>
              <w:t>i,t-1</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0.013*</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0.024***</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(0.008)</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(0.003)</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r>
              <w:rPr>
                <w:i/>
                <w:iCs/>
                <w:sz w:val="18"/>
                <w:szCs w:val="18"/>
              </w:rPr>
              <w:t>P</w:t>
            </w:r>
            <w:r>
              <w:rPr>
                <w:rFonts w:hint="eastAsia"/>
                <w:i/>
                <w:iCs/>
                <w:sz w:val="18"/>
                <w:szCs w:val="18"/>
              </w:rPr>
              <w:t>ressure</w:t>
            </w:r>
            <w:r>
              <w:rPr>
                <w:i/>
                <w:iCs/>
                <w:sz w:val="18"/>
                <w:szCs w:val="18"/>
              </w:rPr>
              <w:t>2</w:t>
            </w:r>
            <w:r>
              <w:rPr>
                <w:i/>
                <w:iCs/>
                <w:sz w:val="18"/>
                <w:szCs w:val="18"/>
                <w:vertAlign w:val="subscript"/>
              </w:rPr>
              <w:t>p,t-1</w:t>
            </w:r>
            <w:r>
              <w:rPr>
                <w:i/>
                <w:iCs/>
                <w:sz w:val="18"/>
                <w:szCs w:val="18"/>
              </w:rPr>
              <w:t xml:space="preserve">×LempF </w:t>
            </w:r>
            <w:r>
              <w:rPr>
                <w:i/>
                <w:iCs/>
                <w:sz w:val="18"/>
                <w:szCs w:val="18"/>
                <w:vertAlign w:val="subscript"/>
              </w:rPr>
              <w:t>i,t-1</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0.109***</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0.329***</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(0.009)</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(0.006)</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r>
              <w:rPr>
                <w:i/>
                <w:iCs/>
                <w:sz w:val="18"/>
                <w:szCs w:val="18"/>
              </w:rPr>
              <w:t>P</w:t>
            </w:r>
            <w:r>
              <w:rPr>
                <w:rFonts w:hint="eastAsia"/>
                <w:i/>
                <w:iCs/>
                <w:sz w:val="18"/>
                <w:szCs w:val="18"/>
              </w:rPr>
              <w:t>ressure</w:t>
            </w:r>
            <w:r>
              <w:rPr>
                <w:i/>
                <w:iCs/>
                <w:sz w:val="18"/>
                <w:szCs w:val="18"/>
              </w:rPr>
              <w:t>2</w:t>
            </w:r>
            <w:r>
              <w:rPr>
                <w:i/>
                <w:iCs/>
                <w:sz w:val="18"/>
                <w:szCs w:val="18"/>
                <w:vertAlign w:val="subscript"/>
              </w:rPr>
              <w:t>p,t-1</w:t>
            </w:r>
            <w:r>
              <w:rPr>
                <w:i/>
                <w:iCs/>
                <w:sz w:val="18"/>
                <w:szCs w:val="18"/>
              </w:rPr>
              <w:t>×SOEs</w:t>
            </w:r>
            <w:r>
              <w:rPr>
                <w:i/>
                <w:iCs/>
                <w:sz w:val="18"/>
                <w:szCs w:val="18"/>
                <w:vertAlign w:val="subscript"/>
              </w:rPr>
              <w:t>i,t-1</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0.002</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0.033***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(0.008)</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r>
              <w:rPr>
                <w:rFonts w:hint="eastAsia" w:eastAsia="仿宋"/>
                <w:bCs/>
                <w:i/>
                <w:iCs/>
                <w:sz w:val="18"/>
                <w:szCs w:val="18"/>
              </w:rPr>
              <w:t>l</w:t>
            </w:r>
            <w:r>
              <w:rPr>
                <w:rFonts w:eastAsia="仿宋"/>
                <w:bCs/>
                <w:i/>
                <w:iCs/>
                <w:sz w:val="18"/>
                <w:szCs w:val="18"/>
              </w:rPr>
              <w:t>n(invest)</w:t>
            </w:r>
            <w:r>
              <w:rPr>
                <w:rFonts w:eastAsia="仿宋"/>
                <w:bCs/>
                <w:i/>
                <w:iCs/>
                <w:sz w:val="18"/>
                <w:szCs w:val="18"/>
                <w:vertAlign w:val="subscript"/>
              </w:rPr>
              <w:t>i</w:t>
            </w:r>
            <w:r>
              <w:rPr>
                <w:rFonts w:hint="eastAsia" w:eastAsia="仿宋"/>
                <w:bCs/>
                <w:i/>
                <w:iCs/>
                <w:sz w:val="18"/>
                <w:szCs w:val="18"/>
                <w:vertAlign w:val="subscript"/>
              </w:rPr>
              <w:t>,</w:t>
            </w:r>
            <w:r>
              <w:rPr>
                <w:rFonts w:eastAsia="仿宋"/>
                <w:bCs/>
                <w:i/>
                <w:iCs/>
                <w:sz w:val="18"/>
                <w:szCs w:val="18"/>
                <w:vertAlign w:val="subscript"/>
              </w:rPr>
              <w:t xml:space="preserve"> t</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0.008</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0.009***</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0.011</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0.012***</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0.007</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(0.005)</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(0.002)</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(0.009)</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(0.004)</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(0.006)</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r>
              <w:rPr>
                <w:rFonts w:eastAsia="仿宋"/>
                <w:sz w:val="18"/>
                <w:szCs w:val="18"/>
              </w:rPr>
              <w:t>R</w:t>
            </w:r>
            <w:r>
              <w:rPr>
                <w:rFonts w:eastAsia="仿宋"/>
                <w:sz w:val="18"/>
                <w:szCs w:val="18"/>
                <w:vertAlign w:val="superscript"/>
              </w:rPr>
              <w:t>2</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0.909</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0.897</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0.896</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0.881</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0.908</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0.883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tcBorders>
              <w:bottom w:val="single" w:color="auto" w:sz="4" w:space="0"/>
            </w:tcBorders>
            <w:shd w:val="clear" w:color="auto" w:fill="auto"/>
            <w:noWrap/>
            <w:vAlign w:val="center"/>
          </w:tcPr>
          <w:p>
            <w:pPr>
              <w:widowControl/>
              <w:adjustRightInd w:val="0"/>
              <w:snapToGrid w:val="0"/>
              <w:rPr>
                <w:rFonts w:eastAsia="仿宋"/>
                <w:sz w:val="18"/>
                <w:szCs w:val="18"/>
              </w:rPr>
            </w:pPr>
            <w:r>
              <w:rPr>
                <w:rFonts w:hint="eastAsia" w:eastAsia="仿宋"/>
                <w:sz w:val="18"/>
                <w:szCs w:val="18"/>
              </w:rPr>
              <w:t>观测值</w:t>
            </w:r>
          </w:p>
        </w:tc>
        <w:tc>
          <w:tcPr>
            <w:tcW w:w="964" w:type="dxa"/>
            <w:tcBorders>
              <w:bottom w:val="single" w:color="auto" w:sz="4" w:space="0"/>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51,238</w:t>
            </w:r>
          </w:p>
        </w:tc>
        <w:tc>
          <w:tcPr>
            <w:tcW w:w="964" w:type="dxa"/>
            <w:tcBorders>
              <w:bottom w:val="single" w:color="auto" w:sz="4" w:space="0"/>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260,302</w:t>
            </w:r>
          </w:p>
        </w:tc>
        <w:tc>
          <w:tcPr>
            <w:tcW w:w="964" w:type="dxa"/>
            <w:tcBorders>
              <w:bottom w:val="single" w:color="auto" w:sz="4" w:space="0"/>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37,193</w:t>
            </w:r>
          </w:p>
        </w:tc>
        <w:tc>
          <w:tcPr>
            <w:tcW w:w="964" w:type="dxa"/>
            <w:tcBorders>
              <w:bottom w:val="single" w:color="auto" w:sz="4" w:space="0"/>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181,328</w:t>
            </w:r>
          </w:p>
        </w:tc>
        <w:tc>
          <w:tcPr>
            <w:tcW w:w="964" w:type="dxa"/>
            <w:tcBorders>
              <w:bottom w:val="single" w:color="auto" w:sz="4" w:space="0"/>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45,863</w:t>
            </w:r>
          </w:p>
        </w:tc>
        <w:tc>
          <w:tcPr>
            <w:tcW w:w="964" w:type="dxa"/>
            <w:tcBorders>
              <w:bottom w:val="single" w:color="auto" w:sz="4" w:space="0"/>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182,335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r>
              <w:rPr>
                <w:i/>
                <w:iCs/>
                <w:sz w:val="18"/>
                <w:szCs w:val="18"/>
              </w:rPr>
              <w:t>P</w:t>
            </w:r>
            <w:r>
              <w:rPr>
                <w:rFonts w:hint="eastAsia"/>
                <w:i/>
                <w:iCs/>
                <w:sz w:val="18"/>
                <w:szCs w:val="18"/>
              </w:rPr>
              <w:t>ressure</w:t>
            </w:r>
            <w:r>
              <w:rPr>
                <w:i/>
                <w:iCs/>
                <w:sz w:val="18"/>
                <w:szCs w:val="18"/>
              </w:rPr>
              <w:t>3</w:t>
            </w:r>
            <w:r>
              <w:rPr>
                <w:i/>
                <w:iCs/>
                <w:sz w:val="18"/>
                <w:szCs w:val="18"/>
                <w:vertAlign w:val="subscript"/>
              </w:rPr>
              <w:t>p,t-1</w:t>
            </w:r>
            <w:r>
              <w:rPr>
                <w:i/>
                <w:iCs/>
                <w:sz w:val="18"/>
                <w:szCs w:val="18"/>
              </w:rPr>
              <w:t>×BigF</w:t>
            </w:r>
            <w:r>
              <w:rPr>
                <w:i/>
                <w:iCs/>
                <w:sz w:val="18"/>
                <w:szCs w:val="18"/>
                <w:vertAlign w:val="subscript"/>
              </w:rPr>
              <w:t>i,t-1</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0.002</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0.030***</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(0.006)</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(0.002)</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r>
              <w:rPr>
                <w:i/>
                <w:iCs/>
                <w:sz w:val="18"/>
                <w:szCs w:val="18"/>
              </w:rPr>
              <w:t>P</w:t>
            </w:r>
            <w:r>
              <w:rPr>
                <w:rFonts w:hint="eastAsia"/>
                <w:i/>
                <w:iCs/>
                <w:sz w:val="18"/>
                <w:szCs w:val="18"/>
              </w:rPr>
              <w:t>ressure</w:t>
            </w:r>
            <w:r>
              <w:rPr>
                <w:i/>
                <w:iCs/>
                <w:sz w:val="18"/>
                <w:szCs w:val="18"/>
              </w:rPr>
              <w:t>3</w:t>
            </w:r>
            <w:r>
              <w:rPr>
                <w:i/>
                <w:iCs/>
                <w:sz w:val="18"/>
                <w:szCs w:val="18"/>
                <w:vertAlign w:val="subscript"/>
              </w:rPr>
              <w:t>p,t-1</w:t>
            </w:r>
            <w:r>
              <w:rPr>
                <w:i/>
                <w:iCs/>
                <w:sz w:val="18"/>
                <w:szCs w:val="18"/>
              </w:rPr>
              <w:t xml:space="preserve">×LempF </w:t>
            </w:r>
            <w:r>
              <w:rPr>
                <w:i/>
                <w:iCs/>
                <w:sz w:val="18"/>
                <w:szCs w:val="18"/>
                <w:vertAlign w:val="subscript"/>
              </w:rPr>
              <w:t>i,t-1</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0.053***</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0.165***</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(0.007)</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(0.002)</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r>
              <w:rPr>
                <w:i/>
                <w:iCs/>
                <w:sz w:val="18"/>
                <w:szCs w:val="18"/>
              </w:rPr>
              <w:t>P</w:t>
            </w:r>
            <w:r>
              <w:rPr>
                <w:rFonts w:hint="eastAsia"/>
                <w:i/>
                <w:iCs/>
                <w:sz w:val="18"/>
                <w:szCs w:val="18"/>
              </w:rPr>
              <w:t>ressure</w:t>
            </w:r>
            <w:r>
              <w:rPr>
                <w:i/>
                <w:iCs/>
                <w:sz w:val="18"/>
                <w:szCs w:val="18"/>
              </w:rPr>
              <w:t>3</w:t>
            </w:r>
            <w:r>
              <w:rPr>
                <w:i/>
                <w:iCs/>
                <w:sz w:val="18"/>
                <w:szCs w:val="18"/>
                <w:vertAlign w:val="subscript"/>
              </w:rPr>
              <w:t>p,t-1</w:t>
            </w:r>
            <w:r>
              <w:rPr>
                <w:i/>
                <w:iCs/>
                <w:sz w:val="18"/>
                <w:szCs w:val="18"/>
              </w:rPr>
              <w:t>×SOEs</w:t>
            </w:r>
            <w:r>
              <w:rPr>
                <w:i/>
                <w:iCs/>
                <w:sz w:val="18"/>
                <w:szCs w:val="18"/>
                <w:vertAlign w:val="subscript"/>
              </w:rPr>
              <w:t>i,t-1</w:t>
            </w: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-0.009</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(0.006)</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r>
              <w:rPr>
                <w:rFonts w:hint="eastAsia" w:eastAsia="仿宋"/>
                <w:bCs/>
                <w:i/>
                <w:iCs/>
                <w:sz w:val="18"/>
                <w:szCs w:val="18"/>
              </w:rPr>
              <w:t>l</w:t>
            </w:r>
            <w:r>
              <w:rPr>
                <w:rFonts w:eastAsia="仿宋"/>
                <w:bCs/>
                <w:i/>
                <w:iCs/>
                <w:sz w:val="18"/>
                <w:szCs w:val="18"/>
              </w:rPr>
              <w:t>n(invest)</w:t>
            </w:r>
            <w:r>
              <w:rPr>
                <w:rFonts w:eastAsia="仿宋"/>
                <w:bCs/>
                <w:i/>
                <w:iCs/>
                <w:sz w:val="18"/>
                <w:szCs w:val="18"/>
                <w:vertAlign w:val="subscript"/>
              </w:rPr>
              <w:t>i</w:t>
            </w:r>
            <w:r>
              <w:rPr>
                <w:rFonts w:hint="eastAsia" w:eastAsia="仿宋"/>
                <w:bCs/>
                <w:i/>
                <w:iCs/>
                <w:sz w:val="18"/>
                <w:szCs w:val="18"/>
                <w:vertAlign w:val="subscript"/>
              </w:rPr>
              <w:t>,</w:t>
            </w:r>
            <w:r>
              <w:rPr>
                <w:rFonts w:eastAsia="仿宋"/>
                <w:bCs/>
                <w:i/>
                <w:iCs/>
                <w:sz w:val="18"/>
                <w:szCs w:val="18"/>
                <w:vertAlign w:val="subscript"/>
              </w:rPr>
              <w:t xml:space="preserve"> t</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0.009*</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0.010***</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0.014</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0.012***</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0.007</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shd w:val="clear" w:color="auto" w:fill="auto"/>
            <w:noWrap/>
            <w:vAlign w:val="center"/>
          </w:tcPr>
          <w:p>
            <w:pPr>
              <w:widowControl/>
              <w:adjustRightInd w:val="0"/>
              <w:snapToGrid w:val="0"/>
              <w:rPr>
                <w:rFonts w:eastAsia="仿宋"/>
                <w:sz w:val="18"/>
                <w:szCs w:val="18"/>
              </w:rPr>
            </w:pP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(0.005)</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(0.002)</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(0.009)</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(0.004)</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(0.006)</w:t>
            </w:r>
          </w:p>
        </w:tc>
        <w:tc>
          <w:tcPr>
            <w:tcW w:w="964" w:type="dxa"/>
            <w:shd w:val="clear" w:color="auto" w:fill="auto"/>
            <w:noWrap/>
            <w:vAlign w:val="center"/>
          </w:tcPr>
          <w:p>
            <w:pPr>
              <w:widowControl/>
              <w:adjustRightInd w:val="0"/>
              <w:snapToGrid w:val="0"/>
              <w:jc w:val="center"/>
              <w:rPr>
                <w:rFonts w:eastAsia="仿宋"/>
                <w:sz w:val="16"/>
                <w:szCs w:val="18"/>
              </w:rPr>
            </w:pPr>
            <w:r>
              <w:rPr>
                <w:rFonts w:eastAsia="仿宋"/>
                <w:sz w:val="16"/>
                <w:szCs w:val="18"/>
              </w:rPr>
              <w:t>(0.002)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tcBorders>
              <w:bottom w:val="nil"/>
            </w:tcBorders>
            <w:shd w:val="clear" w:color="auto" w:fill="auto"/>
            <w:noWrap/>
            <w:vAlign w:val="center"/>
          </w:tcPr>
          <w:p>
            <w:pPr>
              <w:widowControl/>
              <w:adjustRightInd w:val="0"/>
              <w:snapToGrid w:val="0"/>
              <w:rPr>
                <w:rFonts w:eastAsia="仿宋"/>
                <w:sz w:val="18"/>
                <w:szCs w:val="18"/>
              </w:rPr>
            </w:pPr>
            <w:r>
              <w:rPr>
                <w:rFonts w:eastAsia="仿宋"/>
                <w:sz w:val="18"/>
                <w:szCs w:val="18"/>
              </w:rPr>
              <w:t>R</w:t>
            </w:r>
            <w:r>
              <w:rPr>
                <w:rFonts w:eastAsia="仿宋"/>
                <w:sz w:val="18"/>
                <w:szCs w:val="18"/>
                <w:vertAlign w:val="superscript"/>
              </w:rPr>
              <w:t>2</w:t>
            </w:r>
          </w:p>
        </w:tc>
        <w:tc>
          <w:tcPr>
            <w:tcW w:w="964" w:type="dxa"/>
            <w:tcBorders>
              <w:bottom w:val="nil"/>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0.911</w:t>
            </w:r>
          </w:p>
        </w:tc>
        <w:tc>
          <w:tcPr>
            <w:tcW w:w="964" w:type="dxa"/>
            <w:tcBorders>
              <w:bottom w:val="nil"/>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0.898</w:t>
            </w:r>
          </w:p>
        </w:tc>
        <w:tc>
          <w:tcPr>
            <w:tcW w:w="964" w:type="dxa"/>
            <w:tcBorders>
              <w:bottom w:val="nil"/>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0.897</w:t>
            </w:r>
          </w:p>
        </w:tc>
        <w:tc>
          <w:tcPr>
            <w:tcW w:w="964" w:type="dxa"/>
            <w:tcBorders>
              <w:bottom w:val="nil"/>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0.884</w:t>
            </w:r>
          </w:p>
        </w:tc>
        <w:tc>
          <w:tcPr>
            <w:tcW w:w="964" w:type="dxa"/>
            <w:tcBorders>
              <w:bottom w:val="nil"/>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0.909</w:t>
            </w:r>
          </w:p>
        </w:tc>
        <w:tc>
          <w:tcPr>
            <w:tcW w:w="964" w:type="dxa"/>
            <w:tcBorders>
              <w:bottom w:val="nil"/>
            </w:tcBorders>
            <w:shd w:val="clear" w:color="auto" w:fill="auto"/>
            <w:noWrap/>
            <w:vAlign w:val="center"/>
          </w:tcPr>
          <w:p>
            <w:pPr>
              <w:widowControl/>
              <w:adjustRightInd w:val="0"/>
              <w:snapToGrid w:val="0"/>
              <w:jc w:val="center"/>
              <w:rPr>
                <w:rFonts w:eastAsia="仿宋"/>
                <w:sz w:val="16"/>
                <w:szCs w:val="18"/>
              </w:rPr>
            </w:pPr>
            <w:r>
              <w:rPr>
                <w:rFonts w:eastAsia="仿宋"/>
                <w:sz w:val="16"/>
                <w:szCs w:val="18"/>
              </w:rPr>
              <w:t>0.884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tcBorders>
              <w:top w:val="nil"/>
              <w:bottom w:val="single" w:color="auto" w:sz="4" w:space="0"/>
            </w:tcBorders>
            <w:shd w:val="clear" w:color="auto" w:fill="auto"/>
            <w:noWrap/>
            <w:vAlign w:val="center"/>
          </w:tcPr>
          <w:p>
            <w:pPr>
              <w:widowControl/>
              <w:adjustRightInd w:val="0"/>
              <w:snapToGrid w:val="0"/>
              <w:rPr>
                <w:rFonts w:eastAsia="仿宋"/>
                <w:sz w:val="18"/>
                <w:szCs w:val="18"/>
              </w:rPr>
            </w:pPr>
            <w:r>
              <w:rPr>
                <w:rFonts w:hint="eastAsia" w:eastAsia="仿宋"/>
                <w:sz w:val="18"/>
                <w:szCs w:val="18"/>
              </w:rPr>
              <w:t>观测值</w:t>
            </w:r>
          </w:p>
        </w:tc>
        <w:tc>
          <w:tcPr>
            <w:tcW w:w="964" w:type="dxa"/>
            <w:tcBorders>
              <w:top w:val="nil"/>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6"/>
                <w:szCs w:val="18"/>
              </w:rPr>
              <w:t>51,238</w:t>
            </w:r>
          </w:p>
        </w:tc>
        <w:tc>
          <w:tcPr>
            <w:tcW w:w="964" w:type="dxa"/>
            <w:tcBorders>
              <w:top w:val="nil"/>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6"/>
                <w:szCs w:val="18"/>
              </w:rPr>
              <w:t>260,302</w:t>
            </w:r>
          </w:p>
        </w:tc>
        <w:tc>
          <w:tcPr>
            <w:tcW w:w="964" w:type="dxa"/>
            <w:tcBorders>
              <w:top w:val="nil"/>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6"/>
                <w:szCs w:val="18"/>
              </w:rPr>
              <w:t>37,193</w:t>
            </w:r>
          </w:p>
        </w:tc>
        <w:tc>
          <w:tcPr>
            <w:tcW w:w="964" w:type="dxa"/>
            <w:tcBorders>
              <w:top w:val="nil"/>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6"/>
                <w:szCs w:val="18"/>
              </w:rPr>
              <w:t>181,328</w:t>
            </w:r>
          </w:p>
        </w:tc>
        <w:tc>
          <w:tcPr>
            <w:tcW w:w="964" w:type="dxa"/>
            <w:tcBorders>
              <w:top w:val="nil"/>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6"/>
                <w:szCs w:val="18"/>
              </w:rPr>
              <w:t>45,863</w:t>
            </w:r>
          </w:p>
        </w:tc>
        <w:tc>
          <w:tcPr>
            <w:tcW w:w="964" w:type="dxa"/>
            <w:tcBorders>
              <w:top w:val="nil"/>
              <w:bottom w:val="single" w:color="auto" w:sz="4" w:space="0"/>
            </w:tcBorders>
            <w:shd w:val="clear" w:color="auto" w:fill="auto"/>
            <w:noWrap/>
            <w:vAlign w:val="center"/>
          </w:tcPr>
          <w:p>
            <w:pPr>
              <w:widowControl/>
              <w:adjustRightInd w:val="0"/>
              <w:snapToGrid w:val="0"/>
              <w:jc w:val="center"/>
              <w:rPr>
                <w:rFonts w:eastAsia="仿宋"/>
                <w:sz w:val="18"/>
                <w:szCs w:val="18"/>
              </w:rPr>
            </w:pPr>
            <w:r>
              <w:rPr>
                <w:rFonts w:eastAsia="仿宋"/>
                <w:sz w:val="16"/>
                <w:szCs w:val="18"/>
              </w:rPr>
              <w:t>182,335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tcBorders>
              <w:top w:val="single" w:color="auto" w:sz="4" w:space="0"/>
              <w:bottom w:val="nil"/>
            </w:tcBorders>
            <w:shd w:val="clear" w:color="auto" w:fill="auto"/>
            <w:noWrap/>
            <w:vAlign w:val="center"/>
          </w:tcPr>
          <w:p>
            <w:pPr>
              <w:widowControl/>
              <w:adjustRightInd w:val="0"/>
              <w:snapToGrid w:val="0"/>
              <w:rPr>
                <w:rFonts w:eastAsia="仿宋"/>
                <w:sz w:val="18"/>
                <w:szCs w:val="18"/>
              </w:rPr>
            </w:pPr>
            <w:r>
              <w:rPr>
                <w:rFonts w:hint="eastAsia" w:eastAsia="仿宋"/>
                <w:sz w:val="18"/>
                <w:szCs w:val="18"/>
              </w:rPr>
              <w:t>控制变量</w:t>
            </w:r>
          </w:p>
        </w:tc>
        <w:tc>
          <w:tcPr>
            <w:tcW w:w="964" w:type="dxa"/>
            <w:tcBorders>
              <w:top w:val="single" w:color="auto" w:sz="4" w:space="0"/>
              <w:bottom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c>
          <w:tcPr>
            <w:tcW w:w="964" w:type="dxa"/>
            <w:tcBorders>
              <w:top w:val="single" w:color="auto" w:sz="4" w:space="0"/>
              <w:bottom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c>
          <w:tcPr>
            <w:tcW w:w="964" w:type="dxa"/>
            <w:tcBorders>
              <w:top w:val="single" w:color="auto" w:sz="4" w:space="0"/>
              <w:bottom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c>
          <w:tcPr>
            <w:tcW w:w="964" w:type="dxa"/>
            <w:tcBorders>
              <w:top w:val="single" w:color="auto" w:sz="4" w:space="0"/>
              <w:bottom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c>
          <w:tcPr>
            <w:tcW w:w="964" w:type="dxa"/>
            <w:tcBorders>
              <w:top w:val="single" w:color="auto" w:sz="4" w:space="0"/>
              <w:bottom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c>
          <w:tcPr>
            <w:tcW w:w="964" w:type="dxa"/>
            <w:tcBorders>
              <w:top w:val="single" w:color="auto" w:sz="4" w:space="0"/>
              <w:bottom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2507" w:type="dxa"/>
            <w:tcBorders>
              <w:top w:val="nil"/>
            </w:tcBorders>
            <w:shd w:val="clear" w:color="auto" w:fill="auto"/>
            <w:noWrap/>
            <w:vAlign w:val="center"/>
          </w:tcPr>
          <w:p>
            <w:pPr>
              <w:widowControl/>
              <w:adjustRightInd w:val="0"/>
              <w:snapToGrid w:val="0"/>
              <w:rPr>
                <w:rFonts w:eastAsia="仿宋"/>
                <w:sz w:val="18"/>
                <w:szCs w:val="18"/>
              </w:rPr>
            </w:pPr>
            <w:r>
              <w:rPr>
                <w:rFonts w:hint="eastAsia" w:eastAsia="仿宋"/>
                <w:sz w:val="18"/>
                <w:szCs w:val="18"/>
              </w:rPr>
              <w:t>企业、省份、年份固定效应</w:t>
            </w:r>
          </w:p>
        </w:tc>
        <w:tc>
          <w:tcPr>
            <w:tcW w:w="964" w:type="dxa"/>
            <w:tcBorders>
              <w:top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c>
          <w:tcPr>
            <w:tcW w:w="964" w:type="dxa"/>
            <w:tcBorders>
              <w:top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c>
          <w:tcPr>
            <w:tcW w:w="964" w:type="dxa"/>
            <w:tcBorders>
              <w:top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c>
          <w:tcPr>
            <w:tcW w:w="964" w:type="dxa"/>
            <w:tcBorders>
              <w:top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c>
          <w:tcPr>
            <w:tcW w:w="964" w:type="dxa"/>
            <w:tcBorders>
              <w:top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c>
          <w:tcPr>
            <w:tcW w:w="964" w:type="dxa"/>
            <w:tcBorders>
              <w:top w:val="nil"/>
            </w:tcBorders>
            <w:shd w:val="clear" w:color="auto" w:fill="auto"/>
            <w:noWrap/>
          </w:tcPr>
          <w:p>
            <w:pPr>
              <w:widowControl/>
              <w:adjustRightInd w:val="0"/>
              <w:snapToGrid w:val="0"/>
              <w:jc w:val="center"/>
              <w:rPr>
                <w:rFonts w:eastAsia="仿宋"/>
                <w:sz w:val="16"/>
                <w:szCs w:val="18"/>
              </w:rPr>
            </w:pPr>
            <w:r>
              <w:rPr>
                <w:rFonts w:hint="eastAsia" w:eastAsia="仿宋"/>
                <w:sz w:val="16"/>
                <w:szCs w:val="18"/>
              </w:rPr>
              <w:t>是</w:t>
            </w:r>
          </w:p>
        </w:tc>
      </w:tr>
    </w:tbl>
    <w:p>
      <w:pPr>
        <w:widowControl/>
        <w:spacing w:before="62" w:beforeLines="20"/>
        <w:ind w:firstLine="300" w:firstLineChars="200"/>
        <w:jc w:val="left"/>
        <w:rPr>
          <w:rFonts w:eastAsia="仿宋"/>
          <w:sz w:val="15"/>
          <w:szCs w:val="15"/>
        </w:rPr>
      </w:pPr>
      <w:r>
        <w:rPr>
          <w:rFonts w:eastAsia="仿宋"/>
          <w:sz w:val="15"/>
          <w:szCs w:val="15"/>
        </w:rPr>
        <w:t>注：括号内为</w:t>
      </w:r>
      <w:r>
        <w:rPr>
          <w:rFonts w:hint="eastAsia" w:eastAsia="仿宋"/>
          <w:sz w:val="15"/>
          <w:szCs w:val="15"/>
        </w:rPr>
        <w:t>企业</w:t>
      </w:r>
      <w:r>
        <w:rPr>
          <w:rFonts w:eastAsia="仿宋"/>
          <w:sz w:val="15"/>
          <w:szCs w:val="15"/>
        </w:rPr>
        <w:t>层面</w:t>
      </w:r>
      <w:r>
        <w:rPr>
          <w:rFonts w:hint="eastAsia" w:eastAsia="仿宋"/>
          <w:sz w:val="15"/>
          <w:szCs w:val="15"/>
        </w:rPr>
        <w:t>的</w:t>
      </w:r>
      <w:r>
        <w:rPr>
          <w:rFonts w:eastAsia="仿宋"/>
          <w:sz w:val="15"/>
          <w:szCs w:val="15"/>
        </w:rPr>
        <w:t>聚类</w:t>
      </w:r>
      <w:r>
        <w:rPr>
          <w:rFonts w:hint="eastAsia" w:eastAsia="仿宋"/>
          <w:sz w:val="15"/>
          <w:szCs w:val="15"/>
        </w:rPr>
        <w:t>标准误</w:t>
      </w:r>
      <w:r>
        <w:rPr>
          <w:rFonts w:eastAsia="仿宋"/>
          <w:sz w:val="15"/>
          <w:szCs w:val="15"/>
        </w:rPr>
        <w:t>。</w:t>
      </w:r>
      <w:r>
        <w:rPr>
          <w:rFonts w:eastAsia="仿宋"/>
          <w:i/>
          <w:iCs/>
          <w:sz w:val="15"/>
          <w:szCs w:val="15"/>
        </w:rPr>
        <w:t>Pressure</w:t>
      </w:r>
      <w:r>
        <w:rPr>
          <w:rFonts w:hint="eastAsia" w:eastAsia="仿宋"/>
          <w:sz w:val="15"/>
          <w:szCs w:val="15"/>
        </w:rPr>
        <w:t>、</w:t>
      </w:r>
      <w:r>
        <w:rPr>
          <w:rFonts w:eastAsia="仿宋"/>
          <w:i/>
          <w:iCs/>
          <w:sz w:val="15"/>
          <w:szCs w:val="15"/>
        </w:rPr>
        <w:t>BigF</w:t>
      </w:r>
      <w:r>
        <w:rPr>
          <w:rFonts w:eastAsia="仿宋"/>
          <w:sz w:val="15"/>
          <w:szCs w:val="15"/>
        </w:rPr>
        <w:t>、</w:t>
      </w:r>
      <w:r>
        <w:rPr>
          <w:rFonts w:eastAsia="仿宋"/>
          <w:i/>
          <w:iCs/>
          <w:sz w:val="15"/>
          <w:szCs w:val="15"/>
        </w:rPr>
        <w:t>LempF</w:t>
      </w:r>
      <w:r>
        <w:rPr>
          <w:rFonts w:eastAsia="仿宋"/>
          <w:sz w:val="15"/>
          <w:szCs w:val="15"/>
        </w:rPr>
        <w:t>、</w:t>
      </w:r>
      <w:r>
        <w:rPr>
          <w:rFonts w:eastAsia="仿宋"/>
          <w:i/>
          <w:iCs/>
          <w:sz w:val="15"/>
          <w:szCs w:val="15"/>
        </w:rPr>
        <w:t>SOE</w:t>
      </w:r>
      <w:r>
        <w:rPr>
          <w:rFonts w:hint="eastAsia" w:eastAsia="仿宋"/>
          <w:i/>
          <w:iCs/>
          <w:sz w:val="15"/>
          <w:szCs w:val="15"/>
        </w:rPr>
        <w:t>s</w:t>
      </w:r>
      <w:r>
        <w:rPr>
          <w:rFonts w:eastAsia="仿宋"/>
          <w:sz w:val="15"/>
          <w:szCs w:val="15"/>
        </w:rPr>
        <w:t>、</w:t>
      </w:r>
      <w:r>
        <w:rPr>
          <w:rFonts w:eastAsia="仿宋"/>
          <w:i/>
          <w:iCs/>
          <w:sz w:val="15"/>
          <w:szCs w:val="15"/>
        </w:rPr>
        <w:t>LowPF</w:t>
      </w:r>
      <w:r>
        <w:rPr>
          <w:rFonts w:hint="eastAsia" w:eastAsia="仿宋"/>
          <w:i/>
          <w:iCs/>
          <w:sz w:val="15"/>
          <w:szCs w:val="15"/>
        </w:rPr>
        <w:t>、</w:t>
      </w:r>
      <w:r>
        <w:rPr>
          <w:rFonts w:eastAsia="仿宋"/>
          <w:i/>
          <w:iCs/>
          <w:sz w:val="15"/>
          <w:szCs w:val="15"/>
        </w:rPr>
        <w:t>Pressure×LowPF</w:t>
      </w:r>
      <w:r>
        <w:rPr>
          <w:rFonts w:hint="eastAsia" w:eastAsia="仿宋"/>
          <w:sz w:val="15"/>
          <w:szCs w:val="15"/>
        </w:rPr>
        <w:t>与控制变量的结果未列出，</w:t>
      </w:r>
      <w:r>
        <w:rPr>
          <w:rFonts w:eastAsia="仿宋"/>
          <w:sz w:val="15"/>
          <w:szCs w:val="15"/>
        </w:rPr>
        <w:t>若有需要可联系作者</w:t>
      </w:r>
      <w:r>
        <w:rPr>
          <w:rFonts w:hint="eastAsia" w:eastAsia="仿宋"/>
          <w:sz w:val="15"/>
          <w:szCs w:val="15"/>
        </w:rPr>
        <w:t>。</w:t>
      </w:r>
    </w:p>
    <w:p>
      <w:pPr>
        <w:widowControl/>
        <w:ind w:firstLine="300" w:firstLineChars="200"/>
        <w:jc w:val="left"/>
        <w:rPr>
          <w:rFonts w:eastAsia="仿宋"/>
          <w:sz w:val="15"/>
          <w:szCs w:val="15"/>
        </w:rPr>
      </w:pPr>
    </w:p>
    <w:p>
      <w:pPr>
        <w:widowControl/>
        <w:jc w:val="left"/>
        <w:rPr>
          <w:rFonts w:eastAsia="仿宋"/>
          <w:sz w:val="15"/>
          <w:szCs w:val="15"/>
        </w:rPr>
        <w:sectPr>
          <w:headerReference r:id="rId5" w:type="default"/>
          <w:footerReference r:id="rId6" w:type="default"/>
          <w:footnotePr>
            <w:numFmt w:val="decimalEnclosedCircleChinese"/>
          </w:footnotePr>
          <w:pgSz w:w="11906" w:h="16838"/>
          <w:pgMar w:top="1440" w:right="1797" w:bottom="1440" w:left="1797" w:header="851" w:footer="992" w:gutter="0"/>
          <w:pgNumType w:start="1"/>
          <w:cols w:space="720" w:num="1"/>
          <w:docGrid w:type="lines" w:linePitch="312" w:charSpace="0"/>
        </w:sectPr>
      </w:pPr>
    </w:p>
    <w:p>
      <w:pPr>
        <w:pStyle w:val="17"/>
        <w:spacing w:before="0" w:beforeLines="0" w:after="156"/>
        <w:ind w:firstLine="420"/>
        <w:rPr>
          <w:rFonts w:hint="eastAsia" w:ascii="宋体" w:hAnsi="宋体" w:eastAsia="宋体" w:cs="宋体"/>
          <w:b/>
          <w:bCs/>
          <w:sz w:val="20"/>
          <w:szCs w:val="22"/>
        </w:rPr>
      </w:pPr>
      <w:r>
        <w:rPr>
          <w:rFonts w:hint="eastAsia" w:ascii="宋体" w:hAnsi="宋体" w:eastAsia="宋体" w:cs="宋体"/>
          <w:b/>
          <w:bCs/>
          <w:sz w:val="20"/>
          <w:szCs w:val="22"/>
        </w:rPr>
        <w:t>表III2  稳就业压力与企业专利数量：2SLS回归（2009年截面）</w:t>
      </w:r>
    </w:p>
    <w:tbl>
      <w:tblPr>
        <w:tblStyle w:val="9"/>
        <w:tblW w:w="5000" w:type="pct"/>
        <w:tblInd w:w="0" w:type="dxa"/>
        <w:tblLayout w:type="autofit"/>
        <w:tblCellMar>
          <w:top w:w="0" w:type="dxa"/>
          <w:left w:w="108" w:type="dxa"/>
          <w:bottom w:w="0" w:type="dxa"/>
          <w:right w:w="108" w:type="dxa"/>
        </w:tblCellMar>
      </w:tblPr>
      <w:tblGrid>
        <w:gridCol w:w="2152"/>
        <w:gridCol w:w="1502"/>
        <w:gridCol w:w="1502"/>
        <w:gridCol w:w="1502"/>
        <w:gridCol w:w="1505"/>
        <w:gridCol w:w="1502"/>
        <w:gridCol w:w="1503"/>
        <w:gridCol w:w="1503"/>
        <w:gridCol w:w="1503"/>
      </w:tblGrid>
      <w:tr>
        <w:tblPrEx>
          <w:tblCellMar>
            <w:top w:w="0" w:type="dxa"/>
            <w:left w:w="108" w:type="dxa"/>
            <w:bottom w:w="0" w:type="dxa"/>
            <w:right w:w="108" w:type="dxa"/>
          </w:tblCellMar>
        </w:tblPrEx>
        <w:trPr>
          <w:trHeight w:val="283" w:hRule="atLeast"/>
        </w:trPr>
        <w:tc>
          <w:tcPr>
            <w:tcW w:w="759" w:type="pct"/>
            <w:vMerge w:val="restart"/>
            <w:tcBorders>
              <w:top w:val="single" w:color="auto" w:sz="8" w:space="0"/>
              <w:left w:val="nil"/>
              <w:right w:val="nil"/>
            </w:tcBorders>
            <w:shd w:val="clear" w:color="auto" w:fill="auto"/>
            <w:noWrap/>
            <w:vAlign w:val="center"/>
          </w:tcPr>
          <w:p>
            <w:pPr>
              <w:jc w:val="center"/>
              <w:rPr>
                <w:rFonts w:eastAsia="楷体"/>
                <w:b/>
                <w:bCs/>
                <w:sz w:val="18"/>
                <w:szCs w:val="18"/>
              </w:rPr>
            </w:pPr>
            <w:r>
              <w:rPr>
                <w:rFonts w:hint="eastAsia" w:eastAsia="楷体"/>
                <w:sz w:val="18"/>
                <w:szCs w:val="18"/>
              </w:rPr>
              <w:t>变量</w:t>
            </w:r>
          </w:p>
        </w:tc>
        <w:tc>
          <w:tcPr>
            <w:tcW w:w="2121" w:type="pct"/>
            <w:gridSpan w:val="4"/>
            <w:tcBorders>
              <w:top w:val="single" w:color="auto" w:sz="8" w:space="0"/>
              <w:left w:val="nil"/>
              <w:bottom w:val="single" w:color="auto" w:sz="4" w:space="0"/>
              <w:right w:val="nil"/>
            </w:tcBorders>
            <w:shd w:val="clear" w:color="auto" w:fill="auto"/>
            <w:noWrap/>
            <w:vAlign w:val="center"/>
          </w:tcPr>
          <w:p>
            <w:pPr>
              <w:widowControl/>
              <w:jc w:val="center"/>
              <w:rPr>
                <w:rFonts w:eastAsia="楷体"/>
                <w:i/>
                <w:iCs/>
                <w:sz w:val="18"/>
                <w:szCs w:val="18"/>
              </w:rPr>
            </w:pPr>
            <w:r>
              <w:rPr>
                <w:rFonts w:eastAsia="楷体"/>
                <w:sz w:val="18"/>
                <w:szCs w:val="18"/>
              </w:rPr>
              <w:t>ln(</w:t>
            </w:r>
            <w:r>
              <w:rPr>
                <w:rFonts w:eastAsia="楷体"/>
                <w:i/>
                <w:iCs/>
                <w:sz w:val="18"/>
                <w:szCs w:val="18"/>
              </w:rPr>
              <w:t>total number of patents</w:t>
            </w:r>
            <w:r>
              <w:rPr>
                <w:rFonts w:eastAsia="楷体"/>
                <w:sz w:val="18"/>
                <w:szCs w:val="18"/>
              </w:rPr>
              <w:t>)</w:t>
            </w:r>
            <w:r>
              <w:rPr>
                <w:rFonts w:eastAsia="楷体"/>
                <w:i/>
                <w:iCs/>
                <w:sz w:val="18"/>
                <w:szCs w:val="18"/>
                <w:vertAlign w:val="subscript"/>
              </w:rPr>
              <w:t>i, 2009</w:t>
            </w:r>
          </w:p>
        </w:tc>
        <w:tc>
          <w:tcPr>
            <w:tcW w:w="2119" w:type="pct"/>
            <w:gridSpan w:val="4"/>
            <w:tcBorders>
              <w:top w:val="single" w:color="auto" w:sz="8" w:space="0"/>
              <w:left w:val="nil"/>
              <w:bottom w:val="single" w:color="auto" w:sz="4" w:space="0"/>
              <w:right w:val="nil"/>
            </w:tcBorders>
            <w:shd w:val="clear" w:color="auto" w:fill="auto"/>
            <w:noWrap/>
            <w:vAlign w:val="center"/>
          </w:tcPr>
          <w:p>
            <w:pPr>
              <w:widowControl/>
              <w:jc w:val="center"/>
              <w:rPr>
                <w:rFonts w:eastAsia="楷体"/>
                <w:i/>
                <w:iCs/>
                <w:sz w:val="18"/>
                <w:szCs w:val="18"/>
              </w:rPr>
            </w:pPr>
            <w:r>
              <w:rPr>
                <w:rFonts w:eastAsia="楷体"/>
                <w:sz w:val="18"/>
                <w:szCs w:val="18"/>
              </w:rPr>
              <w:t>ln(</w:t>
            </w:r>
            <w:r>
              <w:rPr>
                <w:rFonts w:eastAsia="楷体"/>
                <w:i/>
                <w:iCs/>
                <w:sz w:val="18"/>
                <w:szCs w:val="18"/>
              </w:rPr>
              <w:t>total number of patent applications</w:t>
            </w:r>
            <w:r>
              <w:rPr>
                <w:rFonts w:eastAsia="楷体"/>
                <w:sz w:val="18"/>
                <w:szCs w:val="18"/>
              </w:rPr>
              <w:t>)</w:t>
            </w:r>
            <w:r>
              <w:rPr>
                <w:rFonts w:eastAsia="楷体"/>
                <w:i/>
                <w:iCs/>
                <w:sz w:val="18"/>
                <w:szCs w:val="18"/>
                <w:vertAlign w:val="subscript"/>
              </w:rPr>
              <w:t>i, 2009</w:t>
            </w:r>
          </w:p>
        </w:tc>
      </w:tr>
      <w:tr>
        <w:tblPrEx>
          <w:tblCellMar>
            <w:top w:w="0" w:type="dxa"/>
            <w:left w:w="108" w:type="dxa"/>
            <w:bottom w:w="0" w:type="dxa"/>
            <w:right w:w="108" w:type="dxa"/>
          </w:tblCellMar>
        </w:tblPrEx>
        <w:trPr>
          <w:trHeight w:val="283" w:hRule="atLeast"/>
        </w:trPr>
        <w:tc>
          <w:tcPr>
            <w:tcW w:w="759" w:type="pct"/>
            <w:vMerge w:val="continue"/>
            <w:tcBorders>
              <w:left w:val="nil"/>
              <w:right w:val="nil"/>
            </w:tcBorders>
            <w:shd w:val="clear" w:color="auto" w:fill="auto"/>
            <w:noWrap/>
            <w:vAlign w:val="center"/>
          </w:tcPr>
          <w:p>
            <w:pPr>
              <w:rPr>
                <w:rFonts w:eastAsia="楷体"/>
                <w:i/>
                <w:iCs/>
                <w:sz w:val="18"/>
                <w:szCs w:val="18"/>
              </w:rPr>
            </w:pPr>
          </w:p>
        </w:tc>
        <w:tc>
          <w:tcPr>
            <w:tcW w:w="1060" w:type="pct"/>
            <w:gridSpan w:val="2"/>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全样本</w:t>
            </w:r>
          </w:p>
        </w:tc>
        <w:tc>
          <w:tcPr>
            <w:tcW w:w="1061" w:type="pct"/>
            <w:gridSpan w:val="2"/>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发达地区</w:t>
            </w:r>
          </w:p>
        </w:tc>
        <w:tc>
          <w:tcPr>
            <w:tcW w:w="1060" w:type="pct"/>
            <w:gridSpan w:val="2"/>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全样本</w:t>
            </w:r>
          </w:p>
        </w:tc>
        <w:tc>
          <w:tcPr>
            <w:tcW w:w="1060" w:type="pct"/>
            <w:gridSpan w:val="2"/>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发达地区</w:t>
            </w:r>
          </w:p>
        </w:tc>
      </w:tr>
      <w:tr>
        <w:tblPrEx>
          <w:tblCellMar>
            <w:top w:w="0" w:type="dxa"/>
            <w:left w:w="108" w:type="dxa"/>
            <w:bottom w:w="0" w:type="dxa"/>
            <w:right w:w="108" w:type="dxa"/>
          </w:tblCellMar>
        </w:tblPrEx>
        <w:trPr>
          <w:trHeight w:val="283" w:hRule="atLeast"/>
        </w:trPr>
        <w:tc>
          <w:tcPr>
            <w:tcW w:w="759" w:type="pct"/>
            <w:vMerge w:val="continue"/>
            <w:tcBorders>
              <w:left w:val="nil"/>
              <w:right w:val="nil"/>
            </w:tcBorders>
            <w:shd w:val="clear" w:color="auto" w:fill="auto"/>
            <w:noWrap/>
            <w:vAlign w:val="center"/>
          </w:tcPr>
          <w:p>
            <w:pPr>
              <w:widowControl/>
              <w:rPr>
                <w:rFonts w:eastAsia="楷体"/>
                <w:sz w:val="18"/>
                <w:szCs w:val="18"/>
              </w:rPr>
            </w:pP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OLS</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IV</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OLS</w:t>
            </w:r>
          </w:p>
        </w:tc>
        <w:tc>
          <w:tcPr>
            <w:tcW w:w="531"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IV</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OLS</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IV</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OLS</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IV</w:t>
            </w:r>
          </w:p>
        </w:tc>
      </w:tr>
      <w:tr>
        <w:tblPrEx>
          <w:tblCellMar>
            <w:top w:w="0" w:type="dxa"/>
            <w:left w:w="108" w:type="dxa"/>
            <w:bottom w:w="0" w:type="dxa"/>
            <w:right w:w="108" w:type="dxa"/>
          </w:tblCellMar>
        </w:tblPrEx>
        <w:trPr>
          <w:trHeight w:val="283" w:hRule="atLeast"/>
        </w:trPr>
        <w:tc>
          <w:tcPr>
            <w:tcW w:w="759" w:type="pct"/>
            <w:vMerge w:val="continue"/>
            <w:tcBorders>
              <w:left w:val="nil"/>
              <w:bottom w:val="single" w:color="auto" w:sz="4" w:space="0"/>
              <w:right w:val="nil"/>
            </w:tcBorders>
            <w:shd w:val="clear" w:color="auto" w:fill="auto"/>
            <w:noWrap/>
            <w:vAlign w:val="center"/>
          </w:tcPr>
          <w:p>
            <w:pPr>
              <w:widowControl/>
              <w:rPr>
                <w:rFonts w:eastAsia="楷体"/>
                <w:sz w:val="18"/>
                <w:szCs w:val="18"/>
              </w:rPr>
            </w:pP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color w:val="000000"/>
                <w:sz w:val="18"/>
                <w:szCs w:val="18"/>
              </w:rPr>
              <w:t>(1)</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color w:val="000000"/>
                <w:sz w:val="18"/>
                <w:szCs w:val="18"/>
              </w:rPr>
              <w:t>(2)</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color w:val="000000"/>
                <w:sz w:val="18"/>
                <w:szCs w:val="18"/>
              </w:rPr>
              <w:t>(3)</w:t>
            </w:r>
          </w:p>
        </w:tc>
        <w:tc>
          <w:tcPr>
            <w:tcW w:w="531"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color w:val="000000"/>
                <w:sz w:val="18"/>
                <w:szCs w:val="18"/>
              </w:rPr>
              <w:t>(4)</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color w:val="000000"/>
                <w:sz w:val="18"/>
                <w:szCs w:val="18"/>
              </w:rPr>
              <w:t>(5)</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color w:val="000000"/>
                <w:sz w:val="18"/>
                <w:szCs w:val="18"/>
              </w:rPr>
              <w:t>(6)</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color w:val="000000"/>
                <w:sz w:val="18"/>
                <w:szCs w:val="18"/>
              </w:rPr>
              <w:t>(7)</w:t>
            </w:r>
          </w:p>
        </w:tc>
        <w:tc>
          <w:tcPr>
            <w:tcW w:w="530" w:type="pct"/>
            <w:tcBorders>
              <w:top w:val="single" w:color="auto" w:sz="4" w:space="0"/>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(8)</w:t>
            </w:r>
          </w:p>
        </w:tc>
      </w:tr>
      <w:tr>
        <w:tblPrEx>
          <w:tblCellMar>
            <w:top w:w="0" w:type="dxa"/>
            <w:left w:w="108" w:type="dxa"/>
            <w:bottom w:w="0" w:type="dxa"/>
            <w:right w:w="108" w:type="dxa"/>
          </w:tblCellMar>
        </w:tblPrEx>
        <w:trPr>
          <w:trHeight w:val="283" w:hRule="atLeast"/>
        </w:trPr>
        <w:tc>
          <w:tcPr>
            <w:tcW w:w="5000" w:type="pct"/>
            <w:gridSpan w:val="9"/>
            <w:tcBorders>
              <w:top w:val="single" w:color="auto" w:sz="4" w:space="0"/>
              <w:left w:val="nil"/>
              <w:bottom w:val="single" w:color="auto" w:sz="4" w:space="0"/>
              <w:right w:val="nil"/>
            </w:tcBorders>
            <w:shd w:val="clear" w:color="auto" w:fill="auto"/>
            <w:noWrap/>
            <w:vAlign w:val="center"/>
          </w:tcPr>
          <w:p>
            <w:pPr>
              <w:widowControl/>
              <w:rPr>
                <w:rFonts w:eastAsia="楷体"/>
                <w:sz w:val="18"/>
                <w:szCs w:val="18"/>
              </w:rPr>
            </w:pPr>
            <w:r>
              <w:rPr>
                <w:rFonts w:eastAsia="楷体"/>
                <w:sz w:val="18"/>
                <w:szCs w:val="18"/>
              </w:rPr>
              <w:t>Panel A</w:t>
            </w:r>
            <w:r>
              <w:rPr>
                <w:rFonts w:hint="eastAsia" w:eastAsia="楷体"/>
                <w:sz w:val="18"/>
                <w:szCs w:val="18"/>
              </w:rPr>
              <w:t>. 使用</w:t>
            </w:r>
            <w:r>
              <w:rPr>
                <w:rFonts w:eastAsia="楷体"/>
                <w:i/>
                <w:iCs/>
                <w:sz w:val="18"/>
                <w:szCs w:val="18"/>
              </w:rPr>
              <w:t>IV</w:t>
            </w:r>
            <w:r>
              <w:rPr>
                <w:rFonts w:hint="eastAsia" w:eastAsia="楷体"/>
                <w:i/>
                <w:iCs/>
                <w:sz w:val="18"/>
                <w:szCs w:val="18"/>
              </w:rPr>
              <w:t>1</w:t>
            </w:r>
            <w:r>
              <w:rPr>
                <w:rFonts w:eastAsia="楷体"/>
                <w:i/>
                <w:iCs/>
                <w:sz w:val="18"/>
                <w:szCs w:val="18"/>
                <w:vertAlign w:val="subscript"/>
              </w:rPr>
              <w:t>p,2007</w:t>
            </w:r>
            <w:r>
              <w:rPr>
                <w:rFonts w:hint="eastAsia" w:eastAsia="楷体"/>
                <w:sz w:val="18"/>
                <w:szCs w:val="18"/>
              </w:rPr>
              <w:t>（若该省2</w:t>
            </w:r>
            <w:r>
              <w:rPr>
                <w:rFonts w:eastAsia="楷体"/>
                <w:sz w:val="18"/>
                <w:szCs w:val="18"/>
              </w:rPr>
              <w:t>007</w:t>
            </w:r>
            <w:r>
              <w:rPr>
                <w:rFonts w:hint="eastAsia" w:eastAsia="楷体"/>
                <w:sz w:val="18"/>
                <w:szCs w:val="18"/>
              </w:rPr>
              <w:t>年经营单位所在地出口额位于全国前2</w:t>
            </w:r>
            <w:r>
              <w:rPr>
                <w:rFonts w:eastAsia="楷体"/>
                <w:sz w:val="18"/>
                <w:szCs w:val="18"/>
              </w:rPr>
              <w:t>5</w:t>
            </w:r>
            <w:r>
              <w:rPr>
                <w:rFonts w:hint="eastAsia" w:eastAsia="楷体"/>
                <w:sz w:val="18"/>
                <w:szCs w:val="18"/>
              </w:rPr>
              <w:t>%取值为1，否则为0）作为工具变量进行2</w:t>
            </w:r>
            <w:r>
              <w:rPr>
                <w:rFonts w:eastAsia="楷体"/>
                <w:sz w:val="18"/>
                <w:szCs w:val="18"/>
              </w:rPr>
              <w:t>SLS</w:t>
            </w:r>
            <w:r>
              <w:rPr>
                <w:rFonts w:hint="eastAsia" w:eastAsia="楷体"/>
                <w:sz w:val="18"/>
                <w:szCs w:val="18"/>
              </w:rPr>
              <w:t>回归</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rPr>
                <w:rFonts w:eastAsia="楷体"/>
                <w:i/>
                <w:iCs/>
                <w:sz w:val="18"/>
                <w:szCs w:val="18"/>
              </w:rPr>
            </w:pPr>
            <w:r>
              <w:rPr>
                <w:rFonts w:eastAsia="楷体"/>
                <w:i/>
                <w:iCs/>
                <w:sz w:val="18"/>
                <w:szCs w:val="18"/>
              </w:rPr>
              <w:t>Pressure</w:t>
            </w:r>
            <w:r>
              <w:rPr>
                <w:rFonts w:eastAsia="楷体"/>
                <w:i/>
                <w:iCs/>
                <w:sz w:val="18"/>
                <w:szCs w:val="18"/>
                <w:vertAlign w:val="subscript"/>
              </w:rPr>
              <w:t>p,2008</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0.006***</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0.076***</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0.006**</w:t>
            </w: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0.094***</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0.005**</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0.062***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0.005**</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0.078***</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(0.005)</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(0.003)</w:t>
            </w: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(0.008)</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(0.004)</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(0.003)</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(0.007)</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jc w:val="left"/>
              <w:rPr>
                <w:rFonts w:eastAsia="楷体"/>
                <w:sz w:val="18"/>
                <w:szCs w:val="18"/>
              </w:rPr>
            </w:pPr>
            <w:r>
              <w:rPr>
                <w:rFonts w:eastAsia="楷体"/>
                <w:sz w:val="18"/>
                <w:szCs w:val="18"/>
              </w:rPr>
              <w:t>第一阶段F值</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3508.42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1282.24</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3508.42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1282.24</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rPr>
                <w:rFonts w:eastAsia="楷体"/>
                <w:sz w:val="18"/>
                <w:szCs w:val="18"/>
              </w:rPr>
            </w:pPr>
            <w:r>
              <w:rPr>
                <w:rFonts w:eastAsia="楷体"/>
                <w:sz w:val="18"/>
                <w:szCs w:val="18"/>
              </w:rPr>
              <w:t>R</w:t>
            </w:r>
            <w:r>
              <w:rPr>
                <w:rFonts w:eastAsia="楷体"/>
                <w:sz w:val="18"/>
                <w:szCs w:val="18"/>
                <w:vertAlign w:val="superscript"/>
              </w:rPr>
              <w:t>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0.104</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0.107</w:t>
            </w: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0.108</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0.097</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0.099</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0.104</w:t>
            </w:r>
          </w:p>
        </w:tc>
      </w:tr>
      <w:tr>
        <w:tblPrEx>
          <w:tblCellMar>
            <w:top w:w="0" w:type="dxa"/>
            <w:left w:w="108" w:type="dxa"/>
            <w:bottom w:w="0" w:type="dxa"/>
            <w:right w:w="108" w:type="dxa"/>
          </w:tblCellMar>
        </w:tblPrEx>
        <w:trPr>
          <w:trHeight w:val="283" w:hRule="atLeast"/>
        </w:trPr>
        <w:tc>
          <w:tcPr>
            <w:tcW w:w="759" w:type="pct"/>
            <w:tcBorders>
              <w:top w:val="nil"/>
              <w:left w:val="nil"/>
              <w:bottom w:val="single" w:color="auto" w:sz="4" w:space="0"/>
              <w:right w:val="nil"/>
            </w:tcBorders>
            <w:shd w:val="clear" w:color="auto" w:fill="auto"/>
            <w:noWrap/>
            <w:vAlign w:val="center"/>
          </w:tcPr>
          <w:p>
            <w:pPr>
              <w:widowControl/>
              <w:rPr>
                <w:rFonts w:eastAsia="楷体"/>
                <w:sz w:val="18"/>
                <w:szCs w:val="18"/>
              </w:rPr>
            </w:pPr>
            <w:r>
              <w:rPr>
                <w:rFonts w:eastAsia="楷体"/>
                <w:sz w:val="18"/>
                <w:szCs w:val="18"/>
              </w:rPr>
              <w:t>观测值</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c>
          <w:tcPr>
            <w:tcW w:w="531"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r>
      <w:tr>
        <w:tblPrEx>
          <w:tblCellMar>
            <w:top w:w="0" w:type="dxa"/>
            <w:left w:w="108" w:type="dxa"/>
            <w:bottom w:w="0" w:type="dxa"/>
            <w:right w:w="108" w:type="dxa"/>
          </w:tblCellMar>
        </w:tblPrEx>
        <w:trPr>
          <w:trHeight w:val="283" w:hRule="atLeast"/>
        </w:trPr>
        <w:tc>
          <w:tcPr>
            <w:tcW w:w="5000" w:type="pct"/>
            <w:gridSpan w:val="9"/>
            <w:tcBorders>
              <w:top w:val="single" w:color="auto" w:sz="4" w:space="0"/>
              <w:left w:val="nil"/>
              <w:bottom w:val="single" w:color="auto" w:sz="4" w:space="0"/>
              <w:right w:val="nil"/>
            </w:tcBorders>
            <w:shd w:val="clear" w:color="auto" w:fill="auto"/>
            <w:noWrap/>
            <w:vAlign w:val="center"/>
          </w:tcPr>
          <w:p>
            <w:pPr>
              <w:widowControl/>
              <w:rPr>
                <w:rFonts w:eastAsia="楷体"/>
                <w:sz w:val="18"/>
                <w:szCs w:val="18"/>
              </w:rPr>
            </w:pPr>
            <w:r>
              <w:rPr>
                <w:rFonts w:eastAsia="楷体"/>
                <w:sz w:val="18"/>
                <w:szCs w:val="18"/>
              </w:rPr>
              <w:t>Panel B</w:t>
            </w:r>
            <w:r>
              <w:rPr>
                <w:rFonts w:hint="eastAsia" w:eastAsia="楷体"/>
                <w:sz w:val="18"/>
                <w:szCs w:val="18"/>
              </w:rPr>
              <w:t>. 使用</w:t>
            </w:r>
            <w:r>
              <w:rPr>
                <w:rFonts w:eastAsia="楷体"/>
                <w:i/>
                <w:iCs/>
                <w:sz w:val="18"/>
                <w:szCs w:val="18"/>
              </w:rPr>
              <w:t>IV</w:t>
            </w:r>
            <w:r>
              <w:rPr>
                <w:rFonts w:hint="eastAsia" w:eastAsia="楷体"/>
                <w:i/>
                <w:iCs/>
                <w:sz w:val="18"/>
                <w:szCs w:val="18"/>
              </w:rPr>
              <w:t>2</w:t>
            </w:r>
            <w:r>
              <w:rPr>
                <w:rFonts w:eastAsia="楷体"/>
                <w:i/>
                <w:iCs/>
                <w:sz w:val="18"/>
                <w:szCs w:val="18"/>
                <w:vertAlign w:val="subscript"/>
              </w:rPr>
              <w:t>p,2007</w:t>
            </w:r>
            <w:r>
              <w:rPr>
                <w:rFonts w:hint="eastAsia" w:eastAsia="楷体"/>
                <w:sz w:val="18"/>
                <w:szCs w:val="18"/>
              </w:rPr>
              <w:t>（若该省2</w:t>
            </w:r>
            <w:r>
              <w:rPr>
                <w:rFonts w:eastAsia="楷体"/>
                <w:sz w:val="18"/>
                <w:szCs w:val="18"/>
              </w:rPr>
              <w:t>007</w:t>
            </w:r>
            <w:r>
              <w:rPr>
                <w:rFonts w:hint="eastAsia" w:eastAsia="楷体"/>
                <w:sz w:val="18"/>
                <w:szCs w:val="18"/>
              </w:rPr>
              <w:t>年境内货源地出口额位于全国前2</w:t>
            </w:r>
            <w:r>
              <w:rPr>
                <w:rFonts w:eastAsia="楷体"/>
                <w:sz w:val="18"/>
                <w:szCs w:val="18"/>
              </w:rPr>
              <w:t>5</w:t>
            </w:r>
            <w:r>
              <w:rPr>
                <w:rFonts w:hint="eastAsia" w:eastAsia="楷体"/>
                <w:sz w:val="18"/>
                <w:szCs w:val="18"/>
              </w:rPr>
              <w:t>%取值为1，否则为0）作为工具变量进行2</w:t>
            </w:r>
            <w:r>
              <w:rPr>
                <w:rFonts w:eastAsia="楷体"/>
                <w:sz w:val="18"/>
                <w:szCs w:val="18"/>
              </w:rPr>
              <w:t>SLS</w:t>
            </w:r>
            <w:r>
              <w:rPr>
                <w:rFonts w:hint="eastAsia" w:eastAsia="楷体"/>
                <w:sz w:val="18"/>
                <w:szCs w:val="18"/>
              </w:rPr>
              <w:t>回归</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rPr>
                <w:rFonts w:eastAsia="楷体"/>
                <w:i/>
                <w:iCs/>
                <w:sz w:val="18"/>
                <w:szCs w:val="18"/>
              </w:rPr>
            </w:pPr>
            <w:r>
              <w:rPr>
                <w:rFonts w:eastAsia="楷体"/>
                <w:i/>
                <w:iCs/>
                <w:sz w:val="18"/>
                <w:szCs w:val="18"/>
              </w:rPr>
              <w:t>Pressure</w:t>
            </w:r>
            <w:r>
              <w:rPr>
                <w:rFonts w:eastAsia="楷体"/>
                <w:i/>
                <w:iCs/>
                <w:sz w:val="18"/>
                <w:szCs w:val="18"/>
                <w:vertAlign w:val="subscript"/>
              </w:rPr>
              <w:t>p,2008</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0.006***</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0.077***</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0.006**</w:t>
            </w: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0.101***</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0.005**</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0.063***</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0.005**</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0.085***</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(0.005)</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(0.003)</w:t>
            </w: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(0.010)</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(0.005)</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(0.003)</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(0.008)</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rPr>
                <w:rFonts w:eastAsia="楷体"/>
                <w:sz w:val="18"/>
                <w:szCs w:val="18"/>
              </w:rPr>
            </w:pPr>
            <w:r>
              <w:rPr>
                <w:rFonts w:eastAsia="楷体"/>
                <w:sz w:val="18"/>
                <w:szCs w:val="18"/>
              </w:rPr>
              <w:t>第一阶段F值</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3018.88</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1046.65</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3018.88</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1046.65</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rPr>
                <w:rFonts w:eastAsia="楷体"/>
                <w:sz w:val="18"/>
                <w:szCs w:val="18"/>
              </w:rPr>
            </w:pPr>
            <w:r>
              <w:rPr>
                <w:rFonts w:eastAsia="楷体"/>
                <w:sz w:val="18"/>
                <w:szCs w:val="18"/>
              </w:rPr>
              <w:t>R</w:t>
            </w:r>
            <w:r>
              <w:rPr>
                <w:rFonts w:eastAsia="楷体"/>
                <w:sz w:val="18"/>
                <w:szCs w:val="18"/>
                <w:vertAlign w:val="superscript"/>
              </w:rPr>
              <w:t>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0.104</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0.107</w:t>
            </w: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0.108</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0.097</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0.099</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0.103</w:t>
            </w:r>
          </w:p>
        </w:tc>
      </w:tr>
      <w:tr>
        <w:tblPrEx>
          <w:tblCellMar>
            <w:top w:w="0" w:type="dxa"/>
            <w:left w:w="108" w:type="dxa"/>
            <w:bottom w:w="0" w:type="dxa"/>
            <w:right w:w="108" w:type="dxa"/>
          </w:tblCellMar>
        </w:tblPrEx>
        <w:trPr>
          <w:trHeight w:val="283" w:hRule="atLeast"/>
        </w:trPr>
        <w:tc>
          <w:tcPr>
            <w:tcW w:w="759" w:type="pct"/>
            <w:tcBorders>
              <w:top w:val="nil"/>
              <w:left w:val="nil"/>
              <w:bottom w:val="single" w:color="auto" w:sz="4" w:space="0"/>
              <w:right w:val="nil"/>
            </w:tcBorders>
            <w:shd w:val="clear" w:color="auto" w:fill="auto"/>
            <w:noWrap/>
            <w:vAlign w:val="center"/>
          </w:tcPr>
          <w:p>
            <w:pPr>
              <w:widowControl/>
              <w:rPr>
                <w:rFonts w:eastAsia="楷体"/>
                <w:sz w:val="18"/>
                <w:szCs w:val="18"/>
              </w:rPr>
            </w:pPr>
            <w:r>
              <w:rPr>
                <w:rFonts w:eastAsia="楷体"/>
                <w:sz w:val="18"/>
                <w:szCs w:val="18"/>
              </w:rPr>
              <w:t>观测值</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c>
          <w:tcPr>
            <w:tcW w:w="531"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c>
          <w:tcPr>
            <w:tcW w:w="530" w:type="pct"/>
            <w:tcBorders>
              <w:top w:val="nil"/>
              <w:left w:val="nil"/>
              <w:bottom w:val="single" w:color="auto" w:sz="4"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r>
      <w:tr>
        <w:tblPrEx>
          <w:tblCellMar>
            <w:top w:w="0" w:type="dxa"/>
            <w:left w:w="108" w:type="dxa"/>
            <w:bottom w:w="0" w:type="dxa"/>
            <w:right w:w="108" w:type="dxa"/>
          </w:tblCellMar>
        </w:tblPrEx>
        <w:trPr>
          <w:trHeight w:val="283" w:hRule="atLeast"/>
        </w:trPr>
        <w:tc>
          <w:tcPr>
            <w:tcW w:w="5000" w:type="pct"/>
            <w:gridSpan w:val="9"/>
            <w:tcBorders>
              <w:top w:val="single" w:color="auto" w:sz="4" w:space="0"/>
              <w:left w:val="nil"/>
              <w:bottom w:val="single" w:color="auto" w:sz="4" w:space="0"/>
              <w:right w:val="nil"/>
            </w:tcBorders>
            <w:shd w:val="clear" w:color="auto" w:fill="auto"/>
            <w:noWrap/>
            <w:vAlign w:val="center"/>
          </w:tcPr>
          <w:p>
            <w:pPr>
              <w:widowControl/>
              <w:rPr>
                <w:rFonts w:eastAsia="楷体"/>
                <w:sz w:val="18"/>
                <w:szCs w:val="18"/>
              </w:rPr>
            </w:pPr>
            <w:r>
              <w:rPr>
                <w:rFonts w:eastAsia="楷体"/>
                <w:sz w:val="18"/>
                <w:szCs w:val="18"/>
              </w:rPr>
              <w:t>Panel C</w:t>
            </w:r>
            <w:r>
              <w:rPr>
                <w:rFonts w:hint="eastAsia" w:eastAsia="楷体"/>
                <w:sz w:val="18"/>
                <w:szCs w:val="18"/>
              </w:rPr>
              <w:t>. 使用</w:t>
            </w:r>
            <w:r>
              <w:rPr>
                <w:rFonts w:eastAsia="楷体"/>
                <w:i/>
                <w:iCs/>
                <w:sz w:val="18"/>
                <w:szCs w:val="18"/>
              </w:rPr>
              <w:t>IV</w:t>
            </w:r>
            <w:r>
              <w:rPr>
                <w:rFonts w:hint="eastAsia" w:eastAsia="楷体"/>
                <w:i/>
                <w:iCs/>
                <w:sz w:val="18"/>
                <w:szCs w:val="18"/>
              </w:rPr>
              <w:t>3</w:t>
            </w:r>
            <w:r>
              <w:rPr>
                <w:rFonts w:eastAsia="楷体"/>
                <w:i/>
                <w:iCs/>
                <w:sz w:val="18"/>
                <w:szCs w:val="18"/>
                <w:vertAlign w:val="subscript"/>
              </w:rPr>
              <w:t>p</w:t>
            </w:r>
            <w:r>
              <w:rPr>
                <w:rFonts w:hint="eastAsia" w:eastAsia="楷体"/>
                <w:i/>
                <w:iCs/>
                <w:sz w:val="18"/>
                <w:szCs w:val="18"/>
                <w:vertAlign w:val="subscript"/>
              </w:rPr>
              <w:t>,</w:t>
            </w:r>
            <w:r>
              <w:rPr>
                <w:rFonts w:eastAsia="楷体"/>
                <w:i/>
                <w:iCs/>
                <w:sz w:val="18"/>
                <w:szCs w:val="18"/>
                <w:vertAlign w:val="subscript"/>
              </w:rPr>
              <w:t>2007</w:t>
            </w:r>
            <w:r>
              <w:rPr>
                <w:rFonts w:hint="eastAsia" w:eastAsia="楷体"/>
                <w:sz w:val="18"/>
                <w:szCs w:val="18"/>
              </w:rPr>
              <w:t>（若该省2</w:t>
            </w:r>
            <w:r>
              <w:rPr>
                <w:rFonts w:eastAsia="楷体"/>
                <w:sz w:val="18"/>
                <w:szCs w:val="18"/>
              </w:rPr>
              <w:t>007</w:t>
            </w:r>
            <w:r>
              <w:rPr>
                <w:rFonts w:hint="eastAsia" w:eastAsia="楷体"/>
                <w:sz w:val="18"/>
                <w:szCs w:val="18"/>
              </w:rPr>
              <w:t>年(经营单位所在地出口额</w:t>
            </w:r>
            <w:r>
              <w:rPr>
                <w:rFonts w:eastAsia="楷体"/>
                <w:sz w:val="18"/>
                <w:szCs w:val="18"/>
              </w:rPr>
              <w:t>/GDP)</w:t>
            </w:r>
            <w:r>
              <w:rPr>
                <w:rFonts w:hint="eastAsia" w:eastAsia="楷体"/>
                <w:sz w:val="18"/>
                <w:szCs w:val="18"/>
              </w:rPr>
              <w:t>位于全国前2</w:t>
            </w:r>
            <w:r>
              <w:rPr>
                <w:rFonts w:eastAsia="楷体"/>
                <w:sz w:val="18"/>
                <w:szCs w:val="18"/>
              </w:rPr>
              <w:t>5</w:t>
            </w:r>
            <w:r>
              <w:rPr>
                <w:rFonts w:hint="eastAsia" w:eastAsia="楷体"/>
                <w:sz w:val="18"/>
                <w:szCs w:val="18"/>
              </w:rPr>
              <w:t>%取值为1，否则为0）作为工具变量进行2</w:t>
            </w:r>
            <w:r>
              <w:rPr>
                <w:rFonts w:eastAsia="楷体"/>
                <w:sz w:val="18"/>
                <w:szCs w:val="18"/>
              </w:rPr>
              <w:t>SLS</w:t>
            </w:r>
            <w:r>
              <w:rPr>
                <w:rFonts w:hint="eastAsia" w:eastAsia="楷体"/>
                <w:sz w:val="18"/>
                <w:szCs w:val="18"/>
              </w:rPr>
              <w:t>回归</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rPr>
                <w:rFonts w:eastAsia="楷体"/>
                <w:i/>
                <w:iCs/>
                <w:sz w:val="18"/>
                <w:szCs w:val="18"/>
              </w:rPr>
            </w:pPr>
            <w:r>
              <w:rPr>
                <w:rFonts w:eastAsia="楷体"/>
                <w:i/>
                <w:iCs/>
                <w:sz w:val="18"/>
                <w:szCs w:val="18"/>
              </w:rPr>
              <w:t>Pressure</w:t>
            </w:r>
            <w:r>
              <w:rPr>
                <w:rFonts w:eastAsia="楷体"/>
                <w:i/>
                <w:iCs/>
                <w:sz w:val="18"/>
                <w:szCs w:val="18"/>
                <w:vertAlign w:val="subscript"/>
              </w:rPr>
              <w:t>p,2008</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0.006***</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0.216***</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0.006**</w:t>
            </w: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1.552***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0.005**</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0.182***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0.005**</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1.329***</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(0.010)</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(0.003)</w:t>
            </w: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(0.177)</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(0.002)</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(0.009)</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(0.003)</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(0.152)</w:t>
            </w:r>
          </w:p>
        </w:tc>
      </w:tr>
      <w:tr>
        <w:tblPrEx>
          <w:tblCellMar>
            <w:top w:w="0" w:type="dxa"/>
            <w:left w:w="108" w:type="dxa"/>
            <w:bottom w:w="0" w:type="dxa"/>
            <w:right w:w="108" w:type="dxa"/>
          </w:tblCellMar>
        </w:tblPrEx>
        <w:trPr>
          <w:trHeight w:val="283" w:hRule="atLeast"/>
        </w:trPr>
        <w:tc>
          <w:tcPr>
            <w:tcW w:w="759" w:type="pct"/>
            <w:tcBorders>
              <w:top w:val="nil"/>
              <w:left w:val="nil"/>
              <w:bottom w:val="nil"/>
              <w:right w:val="nil"/>
            </w:tcBorders>
            <w:shd w:val="clear" w:color="auto" w:fill="auto"/>
            <w:noWrap/>
            <w:vAlign w:val="center"/>
          </w:tcPr>
          <w:p>
            <w:pPr>
              <w:widowControl/>
              <w:rPr>
                <w:rFonts w:eastAsia="楷体"/>
                <w:sz w:val="18"/>
                <w:szCs w:val="18"/>
              </w:rPr>
            </w:pPr>
            <w:r>
              <w:rPr>
                <w:rFonts w:eastAsia="楷体"/>
                <w:sz w:val="18"/>
                <w:szCs w:val="18"/>
              </w:rPr>
              <w:t>第一阶段F值</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1043.77</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1"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265.49</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1043.77</w:t>
            </w: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p>
        </w:tc>
        <w:tc>
          <w:tcPr>
            <w:tcW w:w="530" w:type="pct"/>
            <w:tcBorders>
              <w:top w:val="nil"/>
              <w:left w:val="nil"/>
              <w:bottom w:val="nil"/>
              <w:right w:val="nil"/>
            </w:tcBorders>
            <w:shd w:val="clear" w:color="auto" w:fill="auto"/>
            <w:noWrap/>
            <w:vAlign w:val="center"/>
          </w:tcPr>
          <w:p>
            <w:pPr>
              <w:widowControl/>
              <w:jc w:val="center"/>
              <w:rPr>
                <w:rFonts w:eastAsia="楷体"/>
                <w:sz w:val="18"/>
                <w:szCs w:val="18"/>
              </w:rPr>
            </w:pPr>
            <w:r>
              <w:rPr>
                <w:rFonts w:eastAsia="楷体"/>
                <w:sz w:val="18"/>
                <w:szCs w:val="18"/>
              </w:rPr>
              <w:t>265.49</w:t>
            </w:r>
          </w:p>
        </w:tc>
      </w:tr>
      <w:tr>
        <w:tblPrEx>
          <w:tblCellMar>
            <w:top w:w="0" w:type="dxa"/>
            <w:left w:w="108" w:type="dxa"/>
            <w:bottom w:w="0" w:type="dxa"/>
            <w:right w:w="108" w:type="dxa"/>
          </w:tblCellMar>
        </w:tblPrEx>
        <w:trPr>
          <w:trHeight w:val="283" w:hRule="atLeast"/>
        </w:trPr>
        <w:tc>
          <w:tcPr>
            <w:tcW w:w="759" w:type="pct"/>
            <w:tcBorders>
              <w:top w:val="nil"/>
              <w:left w:val="nil"/>
              <w:right w:val="nil"/>
            </w:tcBorders>
            <w:shd w:val="clear" w:color="auto" w:fill="auto"/>
            <w:noWrap/>
            <w:vAlign w:val="center"/>
          </w:tcPr>
          <w:p>
            <w:pPr>
              <w:widowControl/>
              <w:rPr>
                <w:rFonts w:eastAsia="楷体"/>
                <w:sz w:val="18"/>
                <w:szCs w:val="18"/>
              </w:rPr>
            </w:pPr>
            <w:r>
              <w:rPr>
                <w:rFonts w:eastAsia="楷体"/>
                <w:sz w:val="18"/>
                <w:szCs w:val="18"/>
              </w:rPr>
              <w:t>R</w:t>
            </w:r>
            <w:r>
              <w:rPr>
                <w:rFonts w:eastAsia="楷体"/>
                <w:sz w:val="18"/>
                <w:szCs w:val="18"/>
                <w:vertAlign w:val="superscript"/>
              </w:rPr>
              <w:t>2</w:t>
            </w:r>
          </w:p>
        </w:tc>
        <w:tc>
          <w:tcPr>
            <w:tcW w:w="530" w:type="pct"/>
            <w:tcBorders>
              <w:top w:val="nil"/>
              <w:left w:val="nil"/>
              <w:right w:val="nil"/>
            </w:tcBorders>
            <w:shd w:val="clear" w:color="auto" w:fill="auto"/>
            <w:noWrap/>
            <w:vAlign w:val="center"/>
          </w:tcPr>
          <w:p>
            <w:pPr>
              <w:widowControl/>
              <w:jc w:val="center"/>
              <w:rPr>
                <w:rFonts w:eastAsia="楷体"/>
                <w:sz w:val="18"/>
                <w:szCs w:val="18"/>
              </w:rPr>
            </w:pPr>
            <w:r>
              <w:rPr>
                <w:rFonts w:eastAsia="楷体"/>
                <w:sz w:val="18"/>
                <w:szCs w:val="18"/>
              </w:rPr>
              <w:t>0.102</w:t>
            </w:r>
          </w:p>
        </w:tc>
        <w:tc>
          <w:tcPr>
            <w:tcW w:w="530" w:type="pct"/>
            <w:tcBorders>
              <w:top w:val="nil"/>
              <w:left w:val="nil"/>
              <w:right w:val="nil"/>
            </w:tcBorders>
            <w:shd w:val="clear" w:color="auto" w:fill="auto"/>
            <w:noWrap/>
            <w:vAlign w:val="center"/>
          </w:tcPr>
          <w:p>
            <w:pPr>
              <w:widowControl/>
              <w:jc w:val="center"/>
              <w:rPr>
                <w:rFonts w:eastAsia="楷体"/>
                <w:sz w:val="18"/>
                <w:szCs w:val="18"/>
              </w:rPr>
            </w:pPr>
            <w:r>
              <w:rPr>
                <w:rFonts w:eastAsia="楷体"/>
                <w:sz w:val="18"/>
                <w:szCs w:val="18"/>
              </w:rPr>
              <w:t>0.106</w:t>
            </w:r>
          </w:p>
        </w:tc>
        <w:tc>
          <w:tcPr>
            <w:tcW w:w="530" w:type="pct"/>
            <w:tcBorders>
              <w:top w:val="nil"/>
              <w:left w:val="nil"/>
              <w:right w:val="nil"/>
            </w:tcBorders>
            <w:shd w:val="clear" w:color="auto" w:fill="auto"/>
            <w:noWrap/>
            <w:vAlign w:val="center"/>
          </w:tcPr>
          <w:p>
            <w:pPr>
              <w:widowControl/>
              <w:jc w:val="center"/>
              <w:rPr>
                <w:rFonts w:eastAsia="楷体"/>
                <w:sz w:val="18"/>
                <w:szCs w:val="18"/>
              </w:rPr>
            </w:pPr>
            <w:r>
              <w:rPr>
                <w:rFonts w:eastAsia="楷体"/>
                <w:sz w:val="18"/>
                <w:szCs w:val="18"/>
              </w:rPr>
              <w:t>0.107</w:t>
            </w:r>
          </w:p>
        </w:tc>
        <w:tc>
          <w:tcPr>
            <w:tcW w:w="531" w:type="pct"/>
            <w:tcBorders>
              <w:top w:val="nil"/>
              <w:left w:val="nil"/>
              <w:right w:val="nil"/>
            </w:tcBorders>
            <w:shd w:val="clear" w:color="auto" w:fill="auto"/>
            <w:noWrap/>
            <w:vAlign w:val="center"/>
          </w:tcPr>
          <w:p>
            <w:pPr>
              <w:widowControl/>
              <w:jc w:val="center"/>
              <w:rPr>
                <w:rFonts w:eastAsia="楷体"/>
                <w:sz w:val="18"/>
                <w:szCs w:val="18"/>
              </w:rPr>
            </w:pPr>
            <w:r>
              <w:rPr>
                <w:rFonts w:eastAsia="楷体"/>
                <w:sz w:val="18"/>
                <w:szCs w:val="18"/>
              </w:rPr>
              <w:t>0.111</w:t>
            </w:r>
          </w:p>
        </w:tc>
        <w:tc>
          <w:tcPr>
            <w:tcW w:w="530" w:type="pct"/>
            <w:tcBorders>
              <w:top w:val="nil"/>
              <w:left w:val="nil"/>
              <w:right w:val="nil"/>
            </w:tcBorders>
            <w:shd w:val="clear" w:color="auto" w:fill="auto"/>
            <w:noWrap/>
            <w:vAlign w:val="center"/>
          </w:tcPr>
          <w:p>
            <w:pPr>
              <w:widowControl/>
              <w:jc w:val="center"/>
              <w:rPr>
                <w:rFonts w:eastAsia="楷体"/>
                <w:sz w:val="18"/>
                <w:szCs w:val="18"/>
              </w:rPr>
            </w:pPr>
            <w:r>
              <w:rPr>
                <w:rFonts w:eastAsia="楷体"/>
                <w:sz w:val="18"/>
                <w:szCs w:val="18"/>
              </w:rPr>
              <w:t>0.097</w:t>
            </w:r>
          </w:p>
        </w:tc>
        <w:tc>
          <w:tcPr>
            <w:tcW w:w="530" w:type="pct"/>
            <w:tcBorders>
              <w:top w:val="nil"/>
              <w:left w:val="nil"/>
              <w:right w:val="nil"/>
            </w:tcBorders>
            <w:shd w:val="clear" w:color="auto" w:fill="auto"/>
            <w:noWrap/>
            <w:vAlign w:val="center"/>
          </w:tcPr>
          <w:p>
            <w:pPr>
              <w:widowControl/>
              <w:jc w:val="center"/>
              <w:rPr>
                <w:rFonts w:eastAsia="楷体"/>
                <w:sz w:val="18"/>
                <w:szCs w:val="18"/>
              </w:rPr>
            </w:pPr>
            <w:r>
              <w:rPr>
                <w:rFonts w:eastAsia="楷体"/>
                <w:sz w:val="18"/>
                <w:szCs w:val="18"/>
              </w:rPr>
              <w:t>0.101</w:t>
            </w:r>
          </w:p>
        </w:tc>
        <w:tc>
          <w:tcPr>
            <w:tcW w:w="530" w:type="pct"/>
            <w:tcBorders>
              <w:top w:val="nil"/>
              <w:left w:val="nil"/>
              <w:right w:val="nil"/>
            </w:tcBorders>
            <w:shd w:val="clear" w:color="auto" w:fill="auto"/>
            <w:noWrap/>
            <w:vAlign w:val="center"/>
          </w:tcPr>
          <w:p>
            <w:pPr>
              <w:widowControl/>
              <w:jc w:val="center"/>
              <w:rPr>
                <w:rFonts w:eastAsia="楷体"/>
                <w:sz w:val="18"/>
                <w:szCs w:val="18"/>
              </w:rPr>
            </w:pPr>
            <w:r>
              <w:rPr>
                <w:rFonts w:eastAsia="楷体"/>
                <w:sz w:val="18"/>
                <w:szCs w:val="18"/>
              </w:rPr>
              <w:t>0.102</w:t>
            </w:r>
          </w:p>
        </w:tc>
        <w:tc>
          <w:tcPr>
            <w:tcW w:w="530" w:type="pct"/>
            <w:tcBorders>
              <w:top w:val="nil"/>
              <w:left w:val="nil"/>
              <w:right w:val="nil"/>
            </w:tcBorders>
            <w:shd w:val="clear" w:color="auto" w:fill="auto"/>
            <w:noWrap/>
            <w:vAlign w:val="center"/>
          </w:tcPr>
          <w:p>
            <w:pPr>
              <w:widowControl/>
              <w:jc w:val="center"/>
              <w:rPr>
                <w:rFonts w:eastAsia="楷体"/>
                <w:sz w:val="18"/>
                <w:szCs w:val="18"/>
              </w:rPr>
            </w:pPr>
            <w:r>
              <w:rPr>
                <w:rFonts w:eastAsia="楷体"/>
                <w:sz w:val="18"/>
                <w:szCs w:val="18"/>
              </w:rPr>
              <w:t>0.106</w:t>
            </w:r>
          </w:p>
        </w:tc>
      </w:tr>
      <w:tr>
        <w:tblPrEx>
          <w:tblCellMar>
            <w:top w:w="0" w:type="dxa"/>
            <w:left w:w="108" w:type="dxa"/>
            <w:bottom w:w="0" w:type="dxa"/>
            <w:right w:w="108" w:type="dxa"/>
          </w:tblCellMar>
        </w:tblPrEx>
        <w:trPr>
          <w:trHeight w:val="283" w:hRule="atLeast"/>
        </w:trPr>
        <w:tc>
          <w:tcPr>
            <w:tcW w:w="759" w:type="pct"/>
            <w:tcBorders>
              <w:top w:val="nil"/>
              <w:left w:val="nil"/>
              <w:bottom w:val="single" w:color="auto" w:sz="8" w:space="0"/>
              <w:right w:val="nil"/>
            </w:tcBorders>
            <w:shd w:val="clear" w:color="auto" w:fill="auto"/>
            <w:noWrap/>
            <w:vAlign w:val="center"/>
          </w:tcPr>
          <w:p>
            <w:pPr>
              <w:widowControl/>
              <w:rPr>
                <w:rFonts w:eastAsia="楷体"/>
                <w:sz w:val="18"/>
                <w:szCs w:val="18"/>
              </w:rPr>
            </w:pPr>
            <w:r>
              <w:rPr>
                <w:rFonts w:eastAsia="楷体"/>
                <w:sz w:val="18"/>
                <w:szCs w:val="18"/>
              </w:rPr>
              <w:t>观测值</w:t>
            </w:r>
          </w:p>
        </w:tc>
        <w:tc>
          <w:tcPr>
            <w:tcW w:w="530" w:type="pct"/>
            <w:tcBorders>
              <w:top w:val="nil"/>
              <w:left w:val="nil"/>
              <w:bottom w:val="single" w:color="auto" w:sz="8"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8"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8"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c>
          <w:tcPr>
            <w:tcW w:w="531" w:type="pct"/>
            <w:tcBorders>
              <w:top w:val="nil"/>
              <w:left w:val="nil"/>
              <w:bottom w:val="single" w:color="auto" w:sz="8"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c>
          <w:tcPr>
            <w:tcW w:w="530" w:type="pct"/>
            <w:tcBorders>
              <w:top w:val="nil"/>
              <w:left w:val="nil"/>
              <w:bottom w:val="single" w:color="auto" w:sz="8"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8" w:space="0"/>
              <w:right w:val="nil"/>
            </w:tcBorders>
            <w:shd w:val="clear" w:color="auto" w:fill="auto"/>
            <w:noWrap/>
            <w:vAlign w:val="center"/>
          </w:tcPr>
          <w:p>
            <w:pPr>
              <w:widowControl/>
              <w:jc w:val="center"/>
              <w:rPr>
                <w:rFonts w:eastAsia="楷体"/>
                <w:sz w:val="18"/>
                <w:szCs w:val="18"/>
              </w:rPr>
            </w:pPr>
            <w:r>
              <w:rPr>
                <w:rFonts w:eastAsia="楷体"/>
                <w:sz w:val="18"/>
                <w:szCs w:val="18"/>
              </w:rPr>
              <w:t>114,260</w:t>
            </w:r>
          </w:p>
        </w:tc>
        <w:tc>
          <w:tcPr>
            <w:tcW w:w="530" w:type="pct"/>
            <w:tcBorders>
              <w:top w:val="nil"/>
              <w:left w:val="nil"/>
              <w:bottom w:val="single" w:color="auto" w:sz="8"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c>
          <w:tcPr>
            <w:tcW w:w="530" w:type="pct"/>
            <w:tcBorders>
              <w:top w:val="nil"/>
              <w:left w:val="nil"/>
              <w:bottom w:val="single" w:color="auto" w:sz="8" w:space="0"/>
              <w:right w:val="nil"/>
            </w:tcBorders>
            <w:shd w:val="clear" w:color="auto" w:fill="auto"/>
            <w:noWrap/>
            <w:vAlign w:val="center"/>
          </w:tcPr>
          <w:p>
            <w:pPr>
              <w:widowControl/>
              <w:jc w:val="center"/>
              <w:rPr>
                <w:rFonts w:eastAsia="楷体"/>
                <w:sz w:val="18"/>
                <w:szCs w:val="18"/>
              </w:rPr>
            </w:pPr>
            <w:r>
              <w:rPr>
                <w:rFonts w:eastAsia="楷体"/>
                <w:sz w:val="18"/>
                <w:szCs w:val="18"/>
              </w:rPr>
              <w:t>97,432</w:t>
            </w:r>
          </w:p>
        </w:tc>
      </w:tr>
    </w:tbl>
    <w:p>
      <w:pPr>
        <w:widowControl/>
        <w:ind w:firstLine="300" w:firstLineChars="200"/>
        <w:jc w:val="left"/>
        <w:rPr>
          <w:rFonts w:eastAsia="仿宋"/>
          <w:sz w:val="15"/>
          <w:szCs w:val="15"/>
        </w:rPr>
      </w:pPr>
      <w:r>
        <w:rPr>
          <w:rFonts w:eastAsia="仿宋"/>
          <w:sz w:val="15"/>
          <w:szCs w:val="15"/>
        </w:rPr>
        <w:t>注：括号内为系数的稳健标准误值，并且稳健标准误在</w:t>
      </w:r>
      <w:r>
        <w:rPr>
          <w:rFonts w:hint="eastAsia" w:eastAsia="仿宋"/>
          <w:sz w:val="15"/>
          <w:szCs w:val="15"/>
        </w:rPr>
        <w:t>企业</w:t>
      </w:r>
      <w:r>
        <w:rPr>
          <w:rFonts w:eastAsia="仿宋"/>
          <w:sz w:val="15"/>
          <w:szCs w:val="15"/>
        </w:rPr>
        <w:t>层面进行了聚类调整。为节约篇幅，</w:t>
      </w:r>
      <w:r>
        <w:rPr>
          <w:rFonts w:eastAsia="仿宋"/>
          <w:i/>
          <w:iCs/>
          <w:sz w:val="15"/>
          <w:szCs w:val="15"/>
        </w:rPr>
        <w:t>Big firms</w:t>
      </w:r>
      <w:r>
        <w:rPr>
          <w:rFonts w:eastAsia="仿宋"/>
          <w:i/>
          <w:iCs/>
          <w:sz w:val="15"/>
          <w:szCs w:val="15"/>
          <w:vertAlign w:val="subscript"/>
        </w:rPr>
        <w:t>i,t-1</w:t>
      </w:r>
      <w:r>
        <w:rPr>
          <w:rFonts w:eastAsia="仿宋"/>
          <w:i/>
          <w:iCs/>
          <w:sz w:val="15"/>
          <w:szCs w:val="15"/>
        </w:rPr>
        <w:t>、Large-employees firms</w:t>
      </w:r>
      <w:r>
        <w:rPr>
          <w:rFonts w:eastAsia="仿宋"/>
          <w:i/>
          <w:iCs/>
          <w:sz w:val="15"/>
          <w:szCs w:val="15"/>
          <w:vertAlign w:val="subscript"/>
        </w:rPr>
        <w:t>i,t-1</w:t>
      </w:r>
      <w:r>
        <w:rPr>
          <w:rFonts w:eastAsia="仿宋"/>
          <w:i/>
          <w:iCs/>
          <w:sz w:val="15"/>
          <w:szCs w:val="15"/>
        </w:rPr>
        <w:t>、SOEs</w:t>
      </w:r>
      <w:r>
        <w:rPr>
          <w:rFonts w:eastAsia="仿宋"/>
          <w:i/>
          <w:iCs/>
          <w:sz w:val="15"/>
          <w:szCs w:val="15"/>
          <w:vertAlign w:val="subscript"/>
        </w:rPr>
        <w:t>i,t-1</w:t>
      </w:r>
      <w:r>
        <w:rPr>
          <w:rFonts w:eastAsia="仿宋"/>
          <w:sz w:val="15"/>
          <w:szCs w:val="15"/>
        </w:rPr>
        <w:t>与</w:t>
      </w:r>
      <w:r>
        <w:rPr>
          <w:rFonts w:eastAsia="仿宋"/>
          <w:i/>
          <w:iCs/>
          <w:sz w:val="15"/>
          <w:szCs w:val="15"/>
        </w:rPr>
        <w:t>Low profit margin firms</w:t>
      </w:r>
      <w:r>
        <w:rPr>
          <w:rFonts w:eastAsia="仿宋"/>
          <w:i/>
          <w:iCs/>
          <w:sz w:val="15"/>
          <w:szCs w:val="15"/>
          <w:vertAlign w:val="subscript"/>
        </w:rPr>
        <w:t>i,t-1</w:t>
      </w:r>
      <w:r>
        <w:rPr>
          <w:rFonts w:eastAsia="仿宋"/>
          <w:sz w:val="15"/>
          <w:szCs w:val="15"/>
        </w:rPr>
        <w:t>的结果未列出，</w:t>
      </w:r>
      <w:r>
        <w:rPr>
          <w:rFonts w:hint="eastAsia" w:eastAsia="仿宋"/>
          <w:sz w:val="15"/>
          <w:szCs w:val="15"/>
        </w:rPr>
        <w:t>各变量的回归结果与正文表5一致；</w:t>
      </w:r>
      <w:r>
        <w:rPr>
          <w:rFonts w:eastAsia="仿宋"/>
          <w:sz w:val="15"/>
          <w:szCs w:val="15"/>
        </w:rPr>
        <w:t>各控制变量的结果</w:t>
      </w:r>
      <w:r>
        <w:rPr>
          <w:rFonts w:hint="eastAsia" w:eastAsia="仿宋"/>
          <w:sz w:val="15"/>
          <w:szCs w:val="15"/>
        </w:rPr>
        <w:t>也</w:t>
      </w:r>
      <w:r>
        <w:rPr>
          <w:rFonts w:eastAsia="仿宋"/>
          <w:sz w:val="15"/>
          <w:szCs w:val="15"/>
        </w:rPr>
        <w:t>未列出，若有需要可联系作者。其中，控制变量包括滞后一期的</w:t>
      </w:r>
      <w:r>
        <w:rPr>
          <w:rFonts w:hint="eastAsia" w:eastAsia="仿宋"/>
          <w:i/>
          <w:iCs/>
          <w:sz w:val="15"/>
          <w:szCs w:val="15"/>
        </w:rPr>
        <w:t>l</w:t>
      </w:r>
      <w:r>
        <w:rPr>
          <w:rFonts w:eastAsia="仿宋"/>
          <w:i/>
          <w:iCs/>
          <w:sz w:val="15"/>
          <w:szCs w:val="15"/>
        </w:rPr>
        <w:t>n(assets)、Leverage、ROA、ROA volatility</w:t>
      </w:r>
      <w:r>
        <w:rPr>
          <w:rFonts w:eastAsia="仿宋"/>
          <w:sz w:val="15"/>
          <w:szCs w:val="15"/>
        </w:rPr>
        <w:t>与</w:t>
      </w:r>
      <w:r>
        <w:rPr>
          <w:rFonts w:eastAsia="仿宋"/>
          <w:i/>
          <w:iCs/>
          <w:sz w:val="15"/>
          <w:szCs w:val="15"/>
        </w:rPr>
        <w:t>Profit</w:t>
      </w:r>
      <w:r>
        <w:rPr>
          <w:rFonts w:hint="eastAsia" w:eastAsia="仿宋"/>
          <w:i/>
          <w:iCs/>
          <w:sz w:val="15"/>
          <w:szCs w:val="15"/>
        </w:rPr>
        <w:t>。</w:t>
      </w:r>
    </w:p>
    <w:p>
      <w:pPr>
        <w:widowControl/>
        <w:ind w:firstLine="400" w:firstLineChars="200"/>
        <w:jc w:val="left"/>
        <w:rPr>
          <w:rFonts w:ascii="Calibri" w:hAnsi="Calibri"/>
          <w:b/>
          <w:szCs w:val="22"/>
        </w:rPr>
      </w:pPr>
      <w:bookmarkStart w:id="5" w:name="_GoBack"/>
      <w:bookmarkEnd w:id="5"/>
    </w:p>
    <w:p>
      <w:pPr>
        <w:widowControl/>
        <w:ind w:firstLine="400" w:firstLineChars="200"/>
        <w:jc w:val="left"/>
        <w:rPr>
          <w:rFonts w:ascii="Calibri" w:hAnsi="Calibri"/>
          <w:b/>
          <w:szCs w:val="22"/>
        </w:rPr>
      </w:pPr>
      <w:r>
        <w:rPr>
          <w:rFonts w:hint="eastAsia" w:ascii="Calibri" w:hAnsi="Calibri"/>
          <w:b/>
          <w:szCs w:val="22"/>
        </w:rPr>
        <w:t>注：该附录是期刊所发表论文的组成部分，同样视为作者公开发表的内容。如研究中使用该附录中的内容，</w:t>
      </w:r>
      <w:r>
        <w:rPr>
          <w:rFonts w:hint="eastAsia" w:ascii="宋体" w:hAnsi="宋体" w:cs="Arial"/>
          <w:b/>
          <w:bCs/>
          <w:szCs w:val="21"/>
        </w:rPr>
        <w:t>请务必在研究成果上注明附录下载出处</w:t>
      </w:r>
      <w:r>
        <w:rPr>
          <w:rFonts w:hint="eastAsia" w:ascii="宋体" w:hAnsi="宋体" w:cs="Arial"/>
          <w:szCs w:val="21"/>
        </w:rPr>
        <w:t>。</w:t>
      </w:r>
    </w:p>
    <w:sectPr>
      <w:footnotePr>
        <w:numFmt w:val="decimalEnclosedCircleChinese"/>
      </w:footnote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3291356"/>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801252"/>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ascii="仿宋" w:hAnsi="仿宋" w:eastAsia="仿宋" w:cs="仿宋"/>
      </w:rPr>
    </w:pPr>
    <w:r>
      <w:rPr>
        <w:rFonts w:hint="eastAsia" w:ascii="仿宋" w:hAnsi="仿宋" w:eastAsia="仿宋" w:cs="仿宋"/>
      </w:rPr>
      <w:t>《经济学》（季刊）                                                             2024年第3期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ascii="仿宋" w:hAnsi="仿宋" w:eastAsia="仿宋" w:cs="仿宋"/>
      </w:rPr>
    </w:pPr>
    <w:r>
      <w:rPr>
        <w:rFonts w:hint="eastAsia" w:ascii="仿宋" w:hAnsi="仿宋" w:eastAsia="仿宋" w:cs="仿宋"/>
      </w:rPr>
      <w:t>《经济学》（季刊）                                                             2024年第3期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characterSpacingControl w:val="doNotCompress"/>
  <w:footnotePr>
    <w:numFmt w:val="decimalEnclosedCircleChinese"/>
  </w:footnotePr>
  <w:compat>
    <w:useFELayout/>
    <w:compatSetting w:name="compatibilityMode" w:uri="http://schemas.microsoft.com/office/word" w:val="12"/>
  </w:compat>
  <w:docVars>
    <w:docVar w:name="commondata" w:val="eyJoZGlkIjoiZDAxNWZhMmRiMTY5YWI4NjAwOTAyNmUyMjJkNDE2NTcifQ=="/>
  </w:docVars>
  <w:rsids>
    <w:rsidRoot w:val="007F22B3"/>
    <w:rsid w:val="00026887"/>
    <w:rsid w:val="000535CA"/>
    <w:rsid w:val="00073E99"/>
    <w:rsid w:val="001002E5"/>
    <w:rsid w:val="00133F30"/>
    <w:rsid w:val="00136630"/>
    <w:rsid w:val="00142CDC"/>
    <w:rsid w:val="00177F89"/>
    <w:rsid w:val="001876B7"/>
    <w:rsid w:val="001A7ED7"/>
    <w:rsid w:val="001B150F"/>
    <w:rsid w:val="001C3041"/>
    <w:rsid w:val="001F323C"/>
    <w:rsid w:val="002872DA"/>
    <w:rsid w:val="0029269B"/>
    <w:rsid w:val="002E5A1F"/>
    <w:rsid w:val="002F3710"/>
    <w:rsid w:val="00320AD5"/>
    <w:rsid w:val="0034547F"/>
    <w:rsid w:val="003752CA"/>
    <w:rsid w:val="004219B9"/>
    <w:rsid w:val="00474065"/>
    <w:rsid w:val="004A6197"/>
    <w:rsid w:val="004A6D08"/>
    <w:rsid w:val="004B5390"/>
    <w:rsid w:val="004D54BB"/>
    <w:rsid w:val="004F6E86"/>
    <w:rsid w:val="0052048E"/>
    <w:rsid w:val="00531B4B"/>
    <w:rsid w:val="00543FB8"/>
    <w:rsid w:val="00567D9C"/>
    <w:rsid w:val="005F19D9"/>
    <w:rsid w:val="006076E9"/>
    <w:rsid w:val="00612744"/>
    <w:rsid w:val="006160C4"/>
    <w:rsid w:val="0064467E"/>
    <w:rsid w:val="00662759"/>
    <w:rsid w:val="0067225D"/>
    <w:rsid w:val="006A6293"/>
    <w:rsid w:val="006C2D0D"/>
    <w:rsid w:val="006E45EE"/>
    <w:rsid w:val="006E6245"/>
    <w:rsid w:val="007210AA"/>
    <w:rsid w:val="00735297"/>
    <w:rsid w:val="007B7BFE"/>
    <w:rsid w:val="007D2304"/>
    <w:rsid w:val="007F22B3"/>
    <w:rsid w:val="008408A3"/>
    <w:rsid w:val="0085350C"/>
    <w:rsid w:val="00864BCD"/>
    <w:rsid w:val="008B3D55"/>
    <w:rsid w:val="008D2DFC"/>
    <w:rsid w:val="00926641"/>
    <w:rsid w:val="00962C82"/>
    <w:rsid w:val="00A02E7D"/>
    <w:rsid w:val="00A02EF4"/>
    <w:rsid w:val="00A61B8F"/>
    <w:rsid w:val="00A8680C"/>
    <w:rsid w:val="00AC2BC7"/>
    <w:rsid w:val="00AE2385"/>
    <w:rsid w:val="00B07FB2"/>
    <w:rsid w:val="00B53247"/>
    <w:rsid w:val="00B71865"/>
    <w:rsid w:val="00B90D94"/>
    <w:rsid w:val="00B92D27"/>
    <w:rsid w:val="00BC22A3"/>
    <w:rsid w:val="00BE0F0C"/>
    <w:rsid w:val="00C0562E"/>
    <w:rsid w:val="00C120E0"/>
    <w:rsid w:val="00C251B8"/>
    <w:rsid w:val="00CD619A"/>
    <w:rsid w:val="00CF2A56"/>
    <w:rsid w:val="00D126E4"/>
    <w:rsid w:val="00D90F26"/>
    <w:rsid w:val="00DB2F0E"/>
    <w:rsid w:val="00DD11EE"/>
    <w:rsid w:val="00DD15C5"/>
    <w:rsid w:val="00DE6110"/>
    <w:rsid w:val="00DF3D95"/>
    <w:rsid w:val="00E07F82"/>
    <w:rsid w:val="00E21CDA"/>
    <w:rsid w:val="00E61DFB"/>
    <w:rsid w:val="00E66DED"/>
    <w:rsid w:val="00EC3142"/>
    <w:rsid w:val="00ED5054"/>
    <w:rsid w:val="00ED57D8"/>
    <w:rsid w:val="00EE31C5"/>
    <w:rsid w:val="00F11878"/>
    <w:rsid w:val="00F214BF"/>
    <w:rsid w:val="00F52B1E"/>
    <w:rsid w:val="00F600F4"/>
    <w:rsid w:val="00F6021A"/>
    <w:rsid w:val="00F915F7"/>
    <w:rsid w:val="00FC5512"/>
    <w:rsid w:val="00FD2D91"/>
    <w:rsid w:val="00FF2231"/>
    <w:rsid w:val="06A277A0"/>
    <w:rsid w:val="07A54225"/>
    <w:rsid w:val="0F406842"/>
    <w:rsid w:val="10D06D3B"/>
    <w:rsid w:val="10F00BB0"/>
    <w:rsid w:val="1B1C3CD0"/>
    <w:rsid w:val="1C762535"/>
    <w:rsid w:val="22833BEA"/>
    <w:rsid w:val="25CA1021"/>
    <w:rsid w:val="263550EC"/>
    <w:rsid w:val="2A5D5A23"/>
    <w:rsid w:val="35A70FA1"/>
    <w:rsid w:val="3E06044C"/>
    <w:rsid w:val="3F21299C"/>
    <w:rsid w:val="3F613192"/>
    <w:rsid w:val="41E839AF"/>
    <w:rsid w:val="451E04DF"/>
    <w:rsid w:val="46991CF7"/>
    <w:rsid w:val="4A59626B"/>
    <w:rsid w:val="4AAC5AF6"/>
    <w:rsid w:val="4AD7299C"/>
    <w:rsid w:val="4D063E4B"/>
    <w:rsid w:val="4FDE5EAB"/>
    <w:rsid w:val="542E03CC"/>
    <w:rsid w:val="5B0E4407"/>
    <w:rsid w:val="5C627828"/>
    <w:rsid w:val="600C403F"/>
    <w:rsid w:val="64F82F1D"/>
    <w:rsid w:val="67C500F1"/>
    <w:rsid w:val="6BF3198F"/>
    <w:rsid w:val="6E857EF5"/>
    <w:rsid w:val="70B14BCC"/>
    <w:rsid w:val="72450B4B"/>
    <w:rsid w:val="73B62C63"/>
    <w:rsid w:val="7D2F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14:ligatures w14:val="standardContextual"/>
    </w:rPr>
  </w:style>
  <w:style w:type="paragraph" w:styleId="2">
    <w:name w:val="heading 1"/>
    <w:basedOn w:val="1"/>
    <w:next w:val="1"/>
    <w:link w:val="14"/>
    <w:qFormat/>
    <w:uiPriority w:val="9"/>
    <w:pPr>
      <w:keepNext/>
      <w:keepLines/>
      <w:spacing w:before="340" w:after="330" w:line="360" w:lineRule="auto"/>
      <w:jc w:val="center"/>
      <w:outlineLvl w:val="0"/>
    </w:pPr>
    <w:rPr>
      <w:rFonts w:eastAsia="黑体"/>
      <w:b/>
      <w:bCs/>
      <w:kern w:val="44"/>
      <w:sz w:val="30"/>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uiPriority w:val="39"/>
    <w:pPr>
      <w:widowControl/>
      <w:spacing w:after="100" w:line="259" w:lineRule="auto"/>
      <w:ind w:left="440"/>
      <w:jc w:val="left"/>
    </w:pPr>
    <w:rPr>
      <w:rFonts w:asciiTheme="minorHAnsi" w:hAnsiTheme="minorHAnsi" w:eastAsiaTheme="minorEastAsia"/>
      <w:sz w:val="22"/>
      <w:szCs w:val="22"/>
    </w:rPr>
  </w:style>
  <w:style w:type="paragraph" w:styleId="4">
    <w:name w:val="footer"/>
    <w:basedOn w:val="1"/>
    <w:link w:val="15"/>
    <w:qFormat/>
    <w:uiPriority w:val="99"/>
    <w:pPr>
      <w:tabs>
        <w:tab w:val="center" w:pos="4153"/>
        <w:tab w:val="right" w:pos="8306"/>
      </w:tabs>
      <w:snapToGrid w:val="0"/>
      <w:jc w:val="left"/>
    </w:pPr>
    <w:rPr>
      <w:rFonts w:ascii="Calibri" w:hAnsi="Calibri" w:cs="宋体"/>
      <w:sz w:val="18"/>
      <w:szCs w:val="18"/>
    </w:rPr>
  </w:style>
  <w:style w:type="paragraph" w:styleId="5">
    <w:name w:val="header"/>
    <w:basedOn w:val="1"/>
    <w:link w:val="16"/>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autoRedefine/>
    <w:unhideWhenUsed/>
    <w:qFormat/>
    <w:uiPriority w:val="39"/>
  </w:style>
  <w:style w:type="paragraph" w:styleId="7">
    <w:name w:val="footnote text"/>
    <w:basedOn w:val="1"/>
    <w:link w:val="19"/>
    <w:autoRedefine/>
    <w:unhideWhenUsed/>
    <w:qFormat/>
    <w:uiPriority w:val="99"/>
    <w:pPr>
      <w:snapToGrid w:val="0"/>
      <w:jc w:val="left"/>
    </w:pPr>
    <w:rPr>
      <w:rFonts w:asciiTheme="minorHAnsi" w:hAnsiTheme="minorHAnsi" w:eastAsiaTheme="minorEastAsia" w:cstheme="minorBidi"/>
      <w:kern w:val="2"/>
      <w:sz w:val="18"/>
      <w:szCs w:val="18"/>
    </w:rPr>
  </w:style>
  <w:style w:type="paragraph" w:styleId="8">
    <w:name w:val="toc 2"/>
    <w:basedOn w:val="1"/>
    <w:next w:val="1"/>
    <w:autoRedefine/>
    <w:unhideWhenUsed/>
    <w:qFormat/>
    <w:uiPriority w:val="39"/>
    <w:pPr>
      <w:widowControl/>
      <w:spacing w:after="100" w:line="259" w:lineRule="auto"/>
      <w:ind w:left="220"/>
      <w:jc w:val="left"/>
    </w:pPr>
    <w:rPr>
      <w:rFonts w:asciiTheme="minorHAnsi" w:hAnsiTheme="minorHAnsi" w:eastAsiaTheme="minorEastAsia"/>
      <w:sz w:val="22"/>
      <w:szCs w:val="22"/>
    </w:rPr>
  </w:style>
  <w:style w:type="character" w:styleId="11">
    <w:name w:val="page number"/>
    <w:basedOn w:val="10"/>
    <w:autoRedefine/>
    <w:unhideWhenUsed/>
    <w:qFormat/>
    <w:uiPriority w:val="0"/>
  </w:style>
  <w:style w:type="character" w:styleId="12">
    <w:name w:val="Hyperlink"/>
    <w:basedOn w:val="10"/>
    <w:autoRedefine/>
    <w:unhideWhenUsed/>
    <w:qFormat/>
    <w:uiPriority w:val="99"/>
    <w:rPr>
      <w:color w:val="467886" w:themeColor="hyperlink"/>
      <w:u w:val="single"/>
    </w:rPr>
  </w:style>
  <w:style w:type="character" w:styleId="13">
    <w:name w:val="footnote reference"/>
    <w:basedOn w:val="10"/>
    <w:autoRedefine/>
    <w:unhideWhenUsed/>
    <w:qFormat/>
    <w:uiPriority w:val="99"/>
    <w:rPr>
      <w:vertAlign w:val="superscript"/>
    </w:rPr>
  </w:style>
  <w:style w:type="character" w:customStyle="1" w:styleId="14">
    <w:name w:val="标题 1 字符"/>
    <w:basedOn w:val="10"/>
    <w:link w:val="2"/>
    <w:autoRedefine/>
    <w:qFormat/>
    <w:uiPriority w:val="9"/>
    <w:rPr>
      <w:rFonts w:ascii="Times New Roman" w:hAnsi="Times New Roman" w:eastAsia="黑体" w:cs="Times New Roman"/>
      <w:b/>
      <w:bCs/>
      <w:kern w:val="44"/>
      <w:sz w:val="30"/>
      <w:szCs w:val="44"/>
    </w:rPr>
  </w:style>
  <w:style w:type="character" w:customStyle="1" w:styleId="15">
    <w:name w:val="页脚 字符"/>
    <w:basedOn w:val="10"/>
    <w:link w:val="4"/>
    <w:autoRedefine/>
    <w:qFormat/>
    <w:uiPriority w:val="99"/>
    <w:rPr>
      <w:rFonts w:ascii="Calibri" w:hAnsi="Calibri" w:eastAsia="宋体" w:cs="宋体"/>
      <w:kern w:val="0"/>
      <w:sz w:val="18"/>
      <w:szCs w:val="18"/>
    </w:rPr>
  </w:style>
  <w:style w:type="character" w:customStyle="1" w:styleId="16">
    <w:name w:val="页眉 字符"/>
    <w:basedOn w:val="10"/>
    <w:link w:val="5"/>
    <w:autoRedefine/>
    <w:qFormat/>
    <w:uiPriority w:val="99"/>
    <w:rPr>
      <w:rFonts w:ascii="Times New Roman" w:hAnsi="Times New Roman" w:eastAsia="宋体" w:cs="Times New Roman"/>
      <w:kern w:val="0"/>
      <w:sz w:val="18"/>
      <w:szCs w:val="20"/>
    </w:rPr>
  </w:style>
  <w:style w:type="paragraph" w:styleId="17">
    <w:name w:val="No Spacing"/>
    <w:basedOn w:val="1"/>
    <w:autoRedefine/>
    <w:qFormat/>
    <w:uiPriority w:val="1"/>
    <w:pPr>
      <w:adjustRightInd w:val="0"/>
      <w:snapToGrid w:val="0"/>
      <w:spacing w:before="120" w:beforeLines="50" w:after="120" w:afterLines="50"/>
      <w:jc w:val="center"/>
    </w:pPr>
    <w:rPr>
      <w:rFonts w:eastAsia="楷体"/>
      <w:kern w:val="2"/>
      <w:sz w:val="21"/>
      <w:szCs w:val="24"/>
    </w:rPr>
  </w:style>
  <w:style w:type="paragraph" w:styleId="18">
    <w:name w:val="List Paragraph"/>
    <w:basedOn w:val="1"/>
    <w:autoRedefine/>
    <w:qFormat/>
    <w:uiPriority w:val="34"/>
    <w:pPr>
      <w:ind w:firstLine="420" w:firstLineChars="200"/>
    </w:pPr>
  </w:style>
  <w:style w:type="character" w:customStyle="1" w:styleId="19">
    <w:name w:val="脚注文本 字符"/>
    <w:basedOn w:val="10"/>
    <w:link w:val="7"/>
    <w:autoRedefine/>
    <w:qFormat/>
    <w:uiPriority w:val="99"/>
    <w:rPr>
      <w:sz w:val="18"/>
      <w:szCs w:val="18"/>
    </w:rPr>
  </w:style>
  <w:style w:type="paragraph" w:customStyle="1" w:styleId="20">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0F4761" w:themeColor="accent1" w:themeShade="BF"/>
      <w:kern w:val="0"/>
      <w:sz w:val="32"/>
      <w:szCs w:val="32"/>
    </w:rPr>
  </w:style>
  <w:style w:type="paragraph" w:customStyle="1" w:styleId="21">
    <w:name w:val="修订1"/>
    <w:autoRedefine/>
    <w:hidden/>
    <w:semiHidden/>
    <w:qFormat/>
    <w:uiPriority w:val="99"/>
    <w:rPr>
      <w:rFonts w:ascii="Times New Roman" w:hAnsi="Times New Roman" w:eastAsia="宋体" w:cs="Times New Roman"/>
      <w:lang w:val="en-US" w:eastAsia="zh-CN" w:bidi="ar-SA"/>
      <w14:ligatures w14:val="standardContextual"/>
    </w:rPr>
  </w:style>
  <w:style w:type="paragraph" w:customStyle="1" w:styleId="22">
    <w:name w:val="Revision"/>
    <w:autoRedefine/>
    <w:hidden/>
    <w:unhideWhenUsed/>
    <w:qFormat/>
    <w:uiPriority w:val="99"/>
    <w:rPr>
      <w:rFonts w:ascii="Times New Roman" w:hAnsi="Times New Roman" w:eastAsia="宋体" w:cs="Times New Roman"/>
      <w:lang w:val="en-US" w:eastAsia="zh-CN" w:bidi="ar-SA"/>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3CCD-AAB4-4970-8C50-5A0F2A2EDF78}">
  <ds:schemaRefs/>
</ds:datastoreItem>
</file>

<file path=docProps/app.xml><?xml version="1.0" encoding="utf-8"?>
<Properties xmlns="http://schemas.openxmlformats.org/officeDocument/2006/extended-properties" xmlns:vt="http://schemas.openxmlformats.org/officeDocument/2006/docPropsVTypes">
  <Template>Normal.dotm</Template>
  <Pages>7</Pages>
  <Words>1365</Words>
  <Characters>7784</Characters>
  <Lines>64</Lines>
  <Paragraphs>18</Paragraphs>
  <TotalTime>31</TotalTime>
  <ScaleCrop>false</ScaleCrop>
  <LinksUpToDate>false</LinksUpToDate>
  <CharactersWithSpaces>9131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2024-04-25T06:21:00Z</dcterms:created>
  <dc:creator>Mi Xie</dc:creator>
  <cp:lastModifiedBy>刘京</cp:lastModifiedBy>
  <dcterms:modified xsi:type="dcterms:W3CDTF">2024-05-22T06:48:52Z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A58A33F9DF4F42839604382250B7FA29_12</vt:lpwstr>
  </property>
</Properties>
</file>