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Times New Roman" w:hAnsi="Times New Roman" w:eastAsia="仿宋" w:cs="Times New Roman"/>
          <w:sz w:val="15"/>
          <w:szCs w:val="15"/>
          <w:shd w:val="clear" w:color="auto" w:fill="FFFFFF"/>
        </w:rPr>
      </w:pPr>
    </w:p>
    <w:p>
      <w:pPr>
        <w:adjustRightInd w:val="0"/>
        <w:snapToGrid w:val="0"/>
        <w:spacing w:line="360" w:lineRule="auto"/>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环境规制的减污降碳协同效应</w:t>
      </w:r>
    </w:p>
    <w:p>
      <w:pPr>
        <w:adjustRightInd w:val="0"/>
        <w:snapToGrid w:val="0"/>
        <w:spacing w:line="360" w:lineRule="auto"/>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——来自清洁生产标准实施的准自然实验</w:t>
      </w:r>
    </w:p>
    <w:p>
      <w:pPr>
        <w:adjustRightInd w:val="0"/>
        <w:snapToGrid w:val="0"/>
        <w:spacing w:line="360" w:lineRule="auto"/>
        <w:jc w:val="center"/>
        <w:rPr>
          <w:rFonts w:hint="eastAsia" w:ascii="仿宋" w:hAnsi="仿宋" w:eastAsia="仿宋" w:cs="仿宋"/>
          <w:b/>
          <w:bCs/>
          <w:color w:val="000000"/>
          <w:sz w:val="32"/>
          <w:szCs w:val="32"/>
        </w:rPr>
      </w:pPr>
      <w:bookmarkStart w:id="21" w:name="_GoBack"/>
      <w:bookmarkEnd w:id="21"/>
    </w:p>
    <w:p>
      <w:pPr>
        <w:adjustRightInd w:val="0"/>
        <w:snapToGrid w:val="0"/>
        <w:jc w:val="center"/>
        <w:rPr>
          <w:rFonts w:ascii="Times New Roman" w:hAnsi="Times New Roman" w:eastAsia="楷体" w:cs="Times New Roman"/>
          <w:color w:val="000000"/>
          <w:sz w:val="28"/>
          <w:szCs w:val="28"/>
        </w:rPr>
      </w:pPr>
      <w:r>
        <w:rPr>
          <w:rFonts w:ascii="Times New Roman" w:hAnsi="Times New Roman" w:eastAsia="楷体" w:cs="Times New Roman"/>
          <w:color w:val="000000"/>
          <w:sz w:val="28"/>
          <w:szCs w:val="28"/>
        </w:rPr>
        <w:t>孙博文  郑世林</w:t>
      </w:r>
    </w:p>
    <w:p>
      <w:pPr>
        <w:adjustRightInd w:val="0"/>
        <w:snapToGrid w:val="0"/>
        <w:rPr>
          <w:rFonts w:ascii="Times New Roman" w:hAnsi="Times New Roman" w:eastAsia="仿宋" w:cs="Times New Roman"/>
          <w:sz w:val="15"/>
          <w:szCs w:val="15"/>
          <w:shd w:val="clear" w:color="auto" w:fill="FFFFFF"/>
        </w:rPr>
      </w:pPr>
      <w:r>
        <w:rPr>
          <w:rFonts w:ascii="Times New Roman" w:hAnsi="Times New Roman" w:eastAsia="华文仿宋" w:cs="Times New Roman"/>
          <w:color w:val="000000"/>
          <w:sz w:val="30"/>
          <w:szCs w:val="30"/>
        </w:rPr>
        <w:t xml:space="preserve"> </w:t>
      </w: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jc w:val="center"/>
        <w:rPr>
          <w:rFonts w:hint="eastAsia" w:ascii="仿宋" w:hAnsi="仿宋" w:eastAsia="仿宋" w:cs="仿宋"/>
          <w:b/>
          <w:bCs/>
          <w:sz w:val="28"/>
          <w:szCs w:val="28"/>
          <w:shd w:val="clear" w:color="auto" w:fill="FFFFFF"/>
          <w:lang w:eastAsia="zh-CN"/>
        </w:rPr>
      </w:pPr>
      <w:r>
        <w:rPr>
          <w:rFonts w:hint="eastAsia" w:ascii="仿宋" w:hAnsi="仿宋" w:eastAsia="仿宋" w:cs="仿宋"/>
          <w:b/>
          <w:bCs/>
          <w:color w:val="000000"/>
          <w:sz w:val="28"/>
          <w:szCs w:val="28"/>
          <w:lang w:val="en-US" w:eastAsia="zh-CN"/>
        </w:rPr>
        <w:t>目录</w:t>
      </w: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sdt>
      <w:sdtPr>
        <w:rPr>
          <w:rFonts w:ascii="Times New Roman" w:hAnsi="Times New Roman" w:cs="Times New Roman" w:eastAsiaTheme="minorEastAsia"/>
          <w:color w:val="auto"/>
          <w:kern w:val="2"/>
          <w:sz w:val="21"/>
          <w:szCs w:val="22"/>
          <w:lang w:val="zh-CN"/>
        </w:rPr>
        <w:id w:val="-956330452"/>
        <w:docPartObj>
          <w:docPartGallery w:val="Table of Contents"/>
          <w:docPartUnique/>
        </w:docPartObj>
      </w:sdtPr>
      <w:sdtEndPr>
        <w:rPr>
          <w:rFonts w:ascii="Times New Roman" w:hAnsi="Times New Roman" w:cs="Times New Roman" w:eastAsiaTheme="minorEastAsia"/>
          <w:b/>
          <w:bCs/>
          <w:color w:val="auto"/>
          <w:kern w:val="2"/>
          <w:sz w:val="21"/>
          <w:szCs w:val="22"/>
          <w:lang w:val="zh-CN"/>
        </w:rPr>
      </w:sdtEndPr>
      <w:sdtContent>
        <w:p>
          <w:pPr>
            <w:pStyle w:val="85"/>
            <w:rPr>
              <w:rFonts w:ascii="Times New Roman" w:hAnsi="Times New Roman" w:cs="Times New Roman"/>
            </w:rPr>
          </w:pPr>
        </w:p>
        <w:p>
          <w:pPr>
            <w:pStyle w:val="17"/>
            <w:rPr>
              <w:rFonts w:hint="eastAsia" w:ascii="仿宋" w:hAnsi="仿宋" w:eastAsia="仿宋" w:cs="仿宋"/>
              <w:sz w:val="22"/>
              <w:szCs w:val="22"/>
              <w14:ligatures w14:val="standardContextual"/>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"_Toc160282108" </w:instrText>
          </w:r>
          <w:r>
            <w:rPr>
              <w:rFonts w:hint="eastAsia" w:ascii="仿宋" w:hAnsi="仿宋" w:eastAsia="仿宋" w:cs="仿宋"/>
              <w:sz w:val="22"/>
              <w:szCs w:val="22"/>
            </w:rPr>
            <w:fldChar w:fldCharType="separate"/>
          </w:r>
          <w:r>
            <w:rPr>
              <w:rStyle w:val="31"/>
              <w:rFonts w:hint="eastAsia" w:ascii="仿宋" w:hAnsi="仿宋" w:eastAsia="仿宋" w:cs="仿宋"/>
              <w:sz w:val="22"/>
              <w:szCs w:val="22"/>
            </w:rPr>
            <w:t xml:space="preserve">附录I </w:t>
          </w:r>
          <w:r>
            <w:rPr>
              <w:rStyle w:val="31"/>
              <w:rFonts w:hint="eastAsia" w:ascii="仿宋" w:hAnsi="仿宋" w:eastAsia="仿宋" w:cs="仿宋"/>
              <w:sz w:val="22"/>
              <w:szCs w:val="22"/>
              <w:lang w:val="en-US" w:eastAsia="zh-CN"/>
            </w:rPr>
            <w:t xml:space="preserve"> </w:t>
          </w:r>
          <w:r>
            <w:rPr>
              <w:rStyle w:val="31"/>
              <w:rFonts w:hint="eastAsia" w:ascii="仿宋" w:hAnsi="仿宋" w:eastAsia="仿宋" w:cs="仿宋"/>
              <w:sz w:val="22"/>
              <w:szCs w:val="22"/>
            </w:rPr>
            <w:t>部分稳健性分析</w:t>
          </w:r>
          <w:r>
            <w:rPr>
              <w:rFonts w:hint="eastAsia" w:ascii="仿宋" w:hAnsi="仿宋" w:eastAsia="仿宋" w:cs="仿宋"/>
              <w:sz w:val="22"/>
              <w:szCs w:val="22"/>
            </w:rPr>
            <w:tab/>
          </w:r>
          <w:r>
            <w:rPr>
              <w:rFonts w:hint="eastAsia" w:ascii="仿宋" w:hAnsi="仿宋" w:eastAsia="仿宋" w:cs="仿宋"/>
              <w:sz w:val="22"/>
              <w:szCs w:val="22"/>
              <w:lang w:val="en-US" w:eastAsia="zh-CN"/>
            </w:rPr>
            <w:t>1</w:t>
          </w:r>
          <w:r>
            <w:rPr>
              <w:rFonts w:hint="eastAsia" w:ascii="仿宋" w:hAnsi="仿宋" w:eastAsia="仿宋" w:cs="仿宋"/>
              <w:sz w:val="22"/>
              <w:szCs w:val="22"/>
            </w:rPr>
            <w:fldChar w:fldCharType="end"/>
          </w:r>
        </w:p>
        <w:p>
          <w:pPr>
            <w:pStyle w:val="17"/>
            <w:rPr>
              <w:rFonts w:ascii="Times New Roman" w:hAnsi="Times New Roman"/>
              <w:sz w:val="28"/>
              <w:szCs w:val="32"/>
              <w14:ligatures w14:val="standardContextual"/>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"_Toc160282115" </w:instrText>
          </w:r>
          <w:r>
            <w:rPr>
              <w:rFonts w:hint="eastAsia" w:ascii="仿宋" w:hAnsi="仿宋" w:eastAsia="仿宋" w:cs="仿宋"/>
              <w:sz w:val="22"/>
              <w:szCs w:val="22"/>
            </w:rPr>
            <w:fldChar w:fldCharType="separate"/>
          </w:r>
          <w:r>
            <w:rPr>
              <w:rStyle w:val="31"/>
              <w:rFonts w:hint="eastAsia" w:ascii="仿宋" w:hAnsi="仿宋" w:eastAsia="仿宋" w:cs="仿宋"/>
              <w:sz w:val="22"/>
              <w:szCs w:val="22"/>
            </w:rPr>
            <w:t>附录II 异质性分析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_Toc160282115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r>
            <w:rPr>
              <w:rFonts w:hint="eastAsia" w:ascii="仿宋" w:hAnsi="仿宋" w:eastAsia="仿宋" w:cs="仿宋"/>
              <w:sz w:val="22"/>
              <w:szCs w:val="22"/>
            </w:rPr>
            <w:fldChar w:fldCharType="end"/>
          </w:r>
        </w:p>
        <w:p>
          <w:pPr>
            <w:pStyle w:val="20"/>
            <w:tabs>
              <w:tab w:val="right" w:leader="dot" w:pos="8302"/>
            </w:tabs>
            <w:ind w:left="396"/>
            <w:rPr>
              <w:rFonts w:ascii="Times New Roman" w:hAnsi="Times New Roman" w:cs="Times New Roman"/>
              <w:sz w:val="22"/>
              <w:szCs w:val="24"/>
              <w14:ligatures w14:val="standardContextual"/>
            </w:rPr>
          </w:pPr>
        </w:p>
        <w:p>
          <w:pPr>
            <w:rPr>
              <w:rFonts w:ascii="Times New Roman" w:hAnsi="Times New Roman" w:cs="Times New Roman"/>
            </w:rPr>
          </w:pPr>
          <w:r>
            <w:rPr>
              <w:rFonts w:ascii="Times New Roman" w:hAnsi="Times New Roman" w:cs="Times New Roman"/>
              <w:b/>
              <w:bCs/>
              <w:lang w:val="zh-CN"/>
            </w:rPr>
            <w:fldChar w:fldCharType="end"/>
          </w:r>
        </w:p>
      </w:sdtContent>
    </w:sdt>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adjustRightInd w:val="0"/>
        <w:snapToGrid w:val="0"/>
        <w:rPr>
          <w:rFonts w:ascii="Times New Roman" w:hAnsi="Times New Roman" w:eastAsia="仿宋" w:cs="Times New Roman"/>
          <w:sz w:val="15"/>
          <w:szCs w:val="15"/>
          <w:shd w:val="clear" w:color="auto" w:fill="FFFFFF"/>
        </w:rPr>
      </w:pPr>
    </w:p>
    <w:p>
      <w:pPr>
        <w:pStyle w:val="2"/>
        <w:rPr>
          <w:rFonts w:ascii="Times New Roman" w:hAnsi="Times New Roman" w:eastAsia="等线 Light" w:cs="Times New Roman"/>
          <w:color w:val="000000"/>
          <w:sz w:val="24"/>
          <w:szCs w:val="24"/>
        </w:rPr>
        <w:sectPr>
          <w:headerReference r:id="rId4" w:type="default"/>
          <w:footnotePr>
            <w:numFmt w:val="decimalEnclosedCircleChinese"/>
            <w:numRestart w:val="eachPage"/>
          </w:footnotePr>
          <w:endnotePr>
            <w:numFmt w:val="decimalEnclosedCircleChinese"/>
          </w:endnotePr>
          <w:pgSz w:w="11906" w:h="16838"/>
          <w:pgMar w:top="1440" w:right="1797" w:bottom="1440" w:left="1797" w:header="851" w:footer="992" w:gutter="0"/>
          <w:cols w:space="425" w:num="1"/>
          <w:docGrid w:type="linesAndChars" w:linePitch="357" w:charSpace="-2478"/>
        </w:sectPr>
      </w:pPr>
      <w:bookmarkStart w:id="0" w:name="_Toc160281481"/>
      <w:bookmarkStart w:id="1" w:name="_Toc160282108"/>
    </w:p>
    <w:p>
      <w:pPr>
        <w:bidi w:val="0"/>
        <w:jc w:val="center"/>
        <w:rPr>
          <w:rFonts w:hint="eastAsia" w:ascii="楷体" w:hAnsi="楷体" w:eastAsia="楷体" w:cs="楷体"/>
          <w:sz w:val="28"/>
          <w:szCs w:val="28"/>
        </w:rPr>
      </w:pPr>
      <w:r>
        <w:rPr>
          <w:rFonts w:hint="eastAsia" w:ascii="楷体" w:hAnsi="楷体" w:eastAsia="楷体" w:cs="楷体"/>
          <w:sz w:val="28"/>
          <w:szCs w:val="28"/>
        </w:rPr>
        <w:t>附录I 部分稳健性分析</w:t>
      </w:r>
      <w:bookmarkEnd w:id="0"/>
      <w:bookmarkEnd w:id="1"/>
    </w:p>
    <w:p>
      <w:pPr>
        <w:pStyle w:val="3"/>
        <w:keepNext w:val="0"/>
        <w:keepLines w:val="0"/>
        <w:widowControl/>
        <w:spacing w:before="0" w:after="0"/>
        <w:ind w:firstLine="396" w:firstLineChars="200"/>
        <w:jc w:val="left"/>
        <w:rPr>
          <w:rFonts w:ascii="Times New Roman" w:hAnsi="Times New Roman" w:eastAsia="仿宋" w:cs="Times New Roman"/>
          <w:b/>
          <w:bCs/>
          <w:color w:val="auto"/>
          <w:kern w:val="0"/>
          <w:sz w:val="21"/>
          <w:szCs w:val="21"/>
        </w:rPr>
      </w:pPr>
      <w:bookmarkStart w:id="2" w:name="_Toc160282109"/>
      <w:r>
        <w:rPr>
          <w:rFonts w:ascii="Times New Roman" w:hAnsi="Times New Roman" w:eastAsia="仿宋" w:cs="Times New Roman"/>
          <w:b/>
          <w:bCs/>
          <w:color w:val="auto"/>
          <w:kern w:val="0"/>
          <w:sz w:val="21"/>
          <w:szCs w:val="21"/>
        </w:rPr>
        <w:t>1.克服样本选择问题</w:t>
      </w:r>
      <w:bookmarkEnd w:id="2"/>
    </w:p>
    <w:p>
      <w:pPr>
        <w:ind w:firstLine="396" w:firstLineChars="200"/>
        <w:rPr>
          <w:rFonts w:ascii="Times New Roman" w:hAnsi="Times New Roman" w:eastAsia="等线 Light" w:cs="Times New Roman"/>
          <w:color w:val="000000"/>
          <w:sz w:val="24"/>
          <w:szCs w:val="24"/>
        </w:rPr>
      </w:pPr>
      <w:r>
        <w:rPr>
          <w:rFonts w:ascii="Times New Roman" w:hAnsi="Times New Roman" w:eastAsia="仿宋" w:cs="Times New Roman"/>
          <w:szCs w:val="21"/>
        </w:rPr>
        <w:t>在强制性清洁生产政策审核下，由于“污染避难所效应”的存在，一些“双超”“双有”企业为规避环境规制而选择迁移，或者调整业务发展其他行业关联业务</w:t>
      </w:r>
      <w:r>
        <w:rPr>
          <w:rFonts w:ascii="Times New Roman" w:hAnsi="Times New Roman" w:eastAsia="仿宋" w:cs="Times New Roman"/>
          <w:kern w:val="0"/>
          <w:szCs w:val="21"/>
        </w:rPr>
        <w:t>（Li</w:t>
      </w:r>
      <w:r>
        <w:rPr>
          <w:rFonts w:ascii="Times New Roman" w:hAnsi="Times New Roman" w:eastAsia="仿宋" w:cs="Times New Roman"/>
          <w:i/>
          <w:iCs/>
          <w:kern w:val="0"/>
          <w:szCs w:val="21"/>
        </w:rPr>
        <w:t xml:space="preserve"> </w:t>
      </w:r>
      <w:r>
        <w:rPr>
          <w:rFonts w:ascii="Times New Roman" w:hAnsi="Times New Roman" w:eastAsia="仿宋" w:cs="Times New Roman"/>
          <w:i w:val="0"/>
          <w:iCs w:val="0"/>
          <w:kern w:val="0"/>
          <w:szCs w:val="21"/>
        </w:rPr>
        <w:t>et al</w:t>
      </w:r>
      <w:r>
        <w:rPr>
          <w:rFonts w:ascii="Times New Roman" w:hAnsi="Times New Roman" w:eastAsia="仿宋" w:cs="Times New Roman"/>
          <w:kern w:val="0"/>
          <w:szCs w:val="21"/>
        </w:rPr>
        <w:t>.,2021）</w:t>
      </w:r>
      <w:r>
        <w:rPr>
          <w:rFonts w:ascii="Times New Roman" w:hAnsi="Times New Roman" w:eastAsia="仿宋" w:cs="Times New Roman"/>
          <w:szCs w:val="21"/>
        </w:rPr>
        <w:t>，</w:t>
      </w:r>
      <w:r>
        <w:rPr>
          <w:rFonts w:ascii="Times New Roman" w:hAnsi="Times New Roman" w:eastAsia="仿宋" w:cs="Times New Roman"/>
          <w:kern w:val="0"/>
          <w:szCs w:val="21"/>
        </w:rPr>
        <w:t>企业迁移和行业更换</w:t>
      </w:r>
      <w:r>
        <w:rPr>
          <w:rFonts w:ascii="Times New Roman" w:hAnsi="Times New Roman" w:eastAsia="仿宋" w:cs="Times New Roman"/>
          <w:szCs w:val="21"/>
        </w:rPr>
        <w:t>下的样本选择问题会造成估计偏误。本文基准模型已对四位数行业固定效应进行了控制，除此之外，考虑到存在两位数行业代码调整的情况</w:t>
      </w:r>
      <w:r>
        <w:rPr>
          <w:rStyle w:val="33"/>
          <w:rFonts w:ascii="Times New Roman" w:hAnsi="Times New Roman" w:eastAsia="仿宋" w:cs="Times New Roman"/>
          <w:szCs w:val="21"/>
        </w:rPr>
        <w:footnoteReference w:id="0"/>
      </w:r>
      <w:r>
        <w:rPr>
          <w:rFonts w:ascii="Times New Roman" w:hAnsi="Times New Roman" w:eastAsia="仿宋" w:cs="Times New Roman"/>
          <w:szCs w:val="21"/>
        </w:rPr>
        <w:t>，表I1中，列（1）和列（2）还控制了两位数行业固定效应。考虑到企业迁移往往需要一定的调整时间，为排除企业迁移因素影响，列（3）和列（4）仅保留政策冲击前后3期窗口样本，即τ</w:t>
      </w:r>
      <w:r>
        <w:rPr>
          <w:rFonts w:hint="eastAsia" w:ascii="宋体" w:hAnsi="宋体" w:eastAsia="宋体" w:cs="宋体"/>
          <w:szCs w:val="21"/>
        </w:rPr>
        <w:t>∈</w:t>
      </w:r>
      <w:r>
        <w:rPr>
          <w:rFonts w:ascii="Times New Roman" w:hAnsi="Times New Roman" w:eastAsia="仿宋" w:cs="Times New Roman"/>
          <w:szCs w:val="21"/>
        </w:rPr>
        <w:t>[-3,3]。进一步，列（5）和列（6）剔除了样本期间两位数及四位数行业代码发生变更的企业样本。最终结果显示，清洁生产标准实施系数均显著为负，结论稳健。</w:t>
      </w:r>
      <w:r>
        <w:rPr>
          <w:rFonts w:ascii="Times New Roman" w:hAnsi="Times New Roman" w:eastAsia="等线 Light" w:cs="Times New Roman"/>
          <w:color w:val="000000"/>
          <w:sz w:val="24"/>
          <w:szCs w:val="24"/>
        </w:rPr>
        <w:t xml:space="preserve"> </w:t>
      </w:r>
    </w:p>
    <w:p>
      <w:pPr>
        <w:ind w:firstLine="456" w:firstLineChars="200"/>
        <w:rPr>
          <w:rFonts w:ascii="Times New Roman" w:hAnsi="Times New Roman" w:eastAsia="等线 Light" w:cs="Times New Roman"/>
          <w:color w:val="000000"/>
          <w:sz w:val="24"/>
          <w:szCs w:val="24"/>
        </w:rPr>
      </w:pPr>
    </w:p>
    <w:p>
      <w:pPr>
        <w:pStyle w:val="3"/>
        <w:keepNext w:val="0"/>
        <w:keepLines w:val="0"/>
        <w:widowControl/>
        <w:spacing w:before="0" w:after="0"/>
        <w:ind w:firstLine="396" w:firstLineChars="200"/>
        <w:jc w:val="left"/>
        <w:rPr>
          <w:rFonts w:ascii="Times New Roman" w:hAnsi="Times New Roman" w:eastAsia="仿宋" w:cs="Times New Roman"/>
          <w:b/>
          <w:bCs/>
          <w:color w:val="auto"/>
          <w:kern w:val="0"/>
          <w:sz w:val="21"/>
          <w:szCs w:val="21"/>
        </w:rPr>
      </w:pPr>
      <w:bookmarkStart w:id="3" w:name="_Toc160282110"/>
      <w:r>
        <w:rPr>
          <w:rFonts w:ascii="Times New Roman" w:hAnsi="Times New Roman" w:eastAsia="仿宋" w:cs="Times New Roman"/>
          <w:b/>
          <w:bCs/>
          <w:color w:val="auto"/>
          <w:kern w:val="0"/>
          <w:sz w:val="21"/>
          <w:szCs w:val="21"/>
        </w:rPr>
        <w:t>2.确保政策随机外生</w:t>
      </w:r>
      <w:bookmarkEnd w:id="3"/>
    </w:p>
    <w:p>
      <w:pPr>
        <w:autoSpaceDE w:val="0"/>
        <w:autoSpaceDN w:val="0"/>
        <w:ind w:firstLine="396" w:firstLineChars="200"/>
        <w:rPr>
          <w:rFonts w:ascii="Times New Roman" w:hAnsi="Times New Roman" w:eastAsia="仿宋" w:cs="Times New Roman"/>
          <w:szCs w:val="21"/>
        </w:rPr>
      </w:pPr>
      <w:r>
        <w:rPr>
          <w:rFonts w:ascii="Times New Roman" w:hAnsi="Times New Roman" w:eastAsia="仿宋" w:cs="Times New Roman"/>
          <w:szCs w:val="21"/>
        </w:rPr>
        <w:t>清洁生产标准实施可能并非严格外生，还受到其他因素影响。清洁生产标准实施对象是“双超”“双有”和高耗能企业</w:t>
      </w:r>
      <w:bookmarkStart w:id="4" w:name="_Hlk86697212"/>
      <w:r>
        <w:rPr>
          <w:rFonts w:ascii="Times New Roman" w:hAnsi="Times New Roman" w:eastAsia="仿宋" w:cs="Times New Roman"/>
          <w:szCs w:val="21"/>
        </w:rPr>
        <w:t>，一些关乎企业污染与碳排放的能耗、经济和技术指标可能会影响企业受到清洁生产标准规制情况，导致估计偏误。因此，借鉴Lu</w:t>
      </w:r>
      <w:r>
        <w:rPr>
          <w:rFonts w:ascii="Times New Roman" w:hAnsi="Times New Roman" w:eastAsia="仿宋" w:cs="Times New Roman"/>
          <w:i/>
          <w:iCs/>
          <w:szCs w:val="21"/>
        </w:rPr>
        <w:t xml:space="preserve"> </w:t>
      </w:r>
      <w:r>
        <w:rPr>
          <w:rFonts w:ascii="Times New Roman" w:hAnsi="Times New Roman" w:eastAsia="仿宋" w:cs="Times New Roman"/>
          <w:i w:val="0"/>
          <w:iCs w:val="0"/>
          <w:szCs w:val="21"/>
        </w:rPr>
        <w:t>et al.</w:t>
      </w:r>
      <w:r>
        <w:rPr>
          <w:rFonts w:ascii="Times New Roman" w:hAnsi="Times New Roman" w:eastAsia="仿宋" w:cs="Times New Roman"/>
          <w:szCs w:val="21"/>
        </w:rPr>
        <w:t>(2017)的做法，进一步在模型中控制可能影响清洁生产政策制定者对清洁生产标准产业选择的因素。根据清洁生产促进法及有关清洁生产审核规定，提取了可能影响清洁生产政策实施的有关前定变量，包括政策最早冲击年份前一年（2002年）四位数行业特征变量：行业工资水平、行业资产份额、行业污水排放、行业粉尘排放、行业就业份额等。将清洁生产标准实施变量对其回归，发现清洁生产标准实施与行业污水排放、行业粉尘排放、行业工资水平和行业资产份额显著有关。因此，影响清洁生产标准实施的前定变量Z</w:t>
      </w:r>
      <w:r>
        <w:rPr>
          <w:rFonts w:ascii="Times New Roman" w:hAnsi="Times New Roman" w:eastAsia="仿宋" w:cs="Times New Roman"/>
          <w:szCs w:val="21"/>
          <w:vertAlign w:val="subscript"/>
        </w:rPr>
        <w:t>2002</w:t>
      </w:r>
      <w:r>
        <w:rPr>
          <w:rFonts w:ascii="Times New Roman" w:hAnsi="Times New Roman" w:eastAsia="仿宋" w:cs="Times New Roman"/>
          <w:szCs w:val="21"/>
        </w:rPr>
        <w:t>应包括行业粉尘排放ln</w:t>
      </w:r>
      <w:r>
        <w:rPr>
          <w:rFonts w:ascii="Times New Roman" w:hAnsi="Times New Roman" w:eastAsia="仿宋" w:cs="Times New Roman"/>
          <w:i/>
          <w:iCs/>
          <w:szCs w:val="21"/>
        </w:rPr>
        <w:t>cic_soot</w:t>
      </w:r>
      <w:r>
        <w:rPr>
          <w:rFonts w:ascii="Times New Roman" w:hAnsi="Times New Roman" w:eastAsia="仿宋" w:cs="Times New Roman"/>
          <w:i/>
          <w:iCs/>
          <w:szCs w:val="21"/>
          <w:vertAlign w:val="subscript"/>
        </w:rPr>
        <w:t>2002</w:t>
      </w:r>
      <w:r>
        <w:rPr>
          <w:rFonts w:ascii="Times New Roman" w:hAnsi="Times New Roman" w:eastAsia="仿宋" w:cs="Times New Roman"/>
          <w:szCs w:val="21"/>
        </w:rPr>
        <w:t>、行业污水排放ln</w:t>
      </w:r>
      <w:r>
        <w:rPr>
          <w:rFonts w:ascii="Times New Roman" w:hAnsi="Times New Roman" w:eastAsia="仿宋" w:cs="Times New Roman"/>
          <w:i/>
          <w:iCs/>
          <w:szCs w:val="21"/>
        </w:rPr>
        <w:t>cic_COD</w:t>
      </w:r>
      <w:r>
        <w:rPr>
          <w:rFonts w:ascii="Times New Roman" w:hAnsi="Times New Roman" w:eastAsia="仿宋" w:cs="Times New Roman"/>
          <w:i/>
          <w:iCs/>
          <w:szCs w:val="21"/>
          <w:vertAlign w:val="subscript"/>
        </w:rPr>
        <w:t>2002</w:t>
      </w:r>
      <w:r>
        <w:rPr>
          <w:rFonts w:ascii="Times New Roman" w:hAnsi="Times New Roman" w:eastAsia="仿宋" w:cs="Times New Roman"/>
          <w:szCs w:val="21"/>
        </w:rPr>
        <w:t>、行业工资水平ln</w:t>
      </w:r>
      <w:r>
        <w:rPr>
          <w:rFonts w:ascii="Times New Roman" w:hAnsi="Times New Roman" w:eastAsia="仿宋" w:cs="Times New Roman"/>
          <w:i/>
          <w:iCs/>
          <w:szCs w:val="21"/>
        </w:rPr>
        <w:t xml:space="preserve">cic_wage </w:t>
      </w:r>
      <w:r>
        <w:rPr>
          <w:rFonts w:ascii="Times New Roman" w:hAnsi="Times New Roman" w:eastAsia="仿宋" w:cs="Times New Roman"/>
          <w:i/>
          <w:iCs/>
          <w:szCs w:val="21"/>
          <w:vertAlign w:val="subscript"/>
        </w:rPr>
        <w:t>2002</w:t>
      </w:r>
      <w:r>
        <w:rPr>
          <w:rFonts w:ascii="Times New Roman" w:hAnsi="Times New Roman" w:eastAsia="仿宋" w:cs="Times New Roman"/>
          <w:szCs w:val="21"/>
        </w:rPr>
        <w:t>、行业资产份额ln</w:t>
      </w:r>
      <w:r>
        <w:rPr>
          <w:rFonts w:ascii="Times New Roman" w:hAnsi="Times New Roman" w:eastAsia="仿宋" w:cs="Times New Roman"/>
          <w:i/>
          <w:iCs/>
          <w:szCs w:val="21"/>
        </w:rPr>
        <w:t xml:space="preserve">cic_k </w:t>
      </w:r>
      <w:r>
        <w:rPr>
          <w:rFonts w:ascii="Times New Roman" w:hAnsi="Times New Roman" w:eastAsia="仿宋" w:cs="Times New Roman"/>
          <w:i/>
          <w:iCs/>
          <w:szCs w:val="21"/>
          <w:vertAlign w:val="subscript"/>
        </w:rPr>
        <w:t>2002</w:t>
      </w:r>
      <w:r>
        <w:rPr>
          <w:rFonts w:ascii="Times New Roman" w:hAnsi="Times New Roman" w:eastAsia="仿宋" w:cs="Times New Roman"/>
          <w:szCs w:val="21"/>
        </w:rPr>
        <w:t>，进而在基准回归的基础上加入Z</w:t>
      </w:r>
      <w:r>
        <w:rPr>
          <w:rFonts w:ascii="Times New Roman" w:hAnsi="Times New Roman" w:eastAsia="仿宋" w:cs="Times New Roman"/>
          <w:szCs w:val="21"/>
          <w:vertAlign w:val="subscript"/>
        </w:rPr>
        <w:t>2002</w:t>
      </w:r>
      <w:r>
        <w:rPr>
          <w:rFonts w:ascii="Times New Roman" w:hAnsi="Times New Roman" w:eastAsia="仿宋" w:cs="Times New Roman"/>
          <w:szCs w:val="21"/>
        </w:rPr>
        <w:t>与年份的交叉项。表I1中，列（7）和列（8）报告了回归结果，发现减污降碳效应同样显著，但系数绝对值有所下降。</w:t>
      </w:r>
    </w:p>
    <w:p>
      <w:pPr>
        <w:snapToGrid w:val="0"/>
        <w:ind w:firstLine="336" w:firstLineChars="200"/>
        <w:jc w:val="center"/>
        <w:rPr>
          <w:rFonts w:hint="eastAsia" w:ascii="黑体" w:hAnsi="黑体" w:eastAsia="黑体" w:cs="黑体"/>
          <w:sz w:val="18"/>
          <w:szCs w:val="18"/>
        </w:rPr>
      </w:pPr>
      <w:r>
        <w:rPr>
          <w:rFonts w:hint="eastAsia" w:ascii="黑体" w:hAnsi="黑体" w:eastAsia="黑体" w:cs="黑体"/>
          <w:sz w:val="18"/>
          <w:szCs w:val="18"/>
        </w:rPr>
        <w:t>表I1 克服样本选择问题及确保政策随机外生</w:t>
      </w:r>
    </w:p>
    <w:tbl>
      <w:tblPr>
        <w:tblStyle w:val="24"/>
        <w:tblW w:w="5000" w:type="pct"/>
        <w:jc w:val="center"/>
        <w:tblLayout w:type="autofit"/>
        <w:tblCellMar>
          <w:top w:w="0" w:type="dxa"/>
          <w:left w:w="75" w:type="dxa"/>
          <w:bottom w:w="0" w:type="dxa"/>
          <w:right w:w="75" w:type="dxa"/>
        </w:tblCellMar>
      </w:tblPr>
      <w:tblGrid>
        <w:gridCol w:w="1650"/>
        <w:gridCol w:w="885"/>
        <w:gridCol w:w="885"/>
        <w:gridCol w:w="885"/>
        <w:gridCol w:w="795"/>
        <w:gridCol w:w="885"/>
        <w:gridCol w:w="795"/>
        <w:gridCol w:w="886"/>
        <w:gridCol w:w="796"/>
      </w:tblGrid>
      <w:tr>
        <w:trPr>
          <w:cantSplit/>
          <w:jc w:val="center"/>
        </w:trPr>
        <w:tc>
          <w:tcPr>
            <w:tcW w:w="975" w:type="pct"/>
            <w:vMerge w:val="restart"/>
            <w:tcBorders>
              <w:top w:val="single" w:color="auto" w:sz="8" w:space="0"/>
              <w:left w:val="nil"/>
              <w:right w:val="nil"/>
            </w:tcBorders>
          </w:tcPr>
          <w:p>
            <w:pPr>
              <w:autoSpaceDE w:val="0"/>
              <w:autoSpaceDN w:val="0"/>
              <w:adjustRightInd w:val="0"/>
              <w:snapToGrid w:val="0"/>
              <w:jc w:val="left"/>
              <w:rPr>
                <w:rFonts w:ascii="Times New Roman" w:hAnsi="Times New Roman" w:eastAsia="仿宋" w:cs="Times New Roman"/>
                <w:kern w:val="0"/>
                <w:sz w:val="18"/>
                <w:szCs w:val="18"/>
              </w:rPr>
            </w:pPr>
          </w:p>
        </w:tc>
        <w:tc>
          <w:tcPr>
            <w:tcW w:w="523" w:type="pct"/>
            <w:tcBorders>
              <w:top w:val="single" w:color="auto" w:sz="8"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523" w:type="pct"/>
            <w:tcBorders>
              <w:top w:val="single" w:color="auto" w:sz="8"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523" w:type="pct"/>
            <w:tcBorders>
              <w:top w:val="single" w:color="auto" w:sz="8"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c>
          <w:tcPr>
            <w:tcW w:w="470" w:type="pct"/>
            <w:tcBorders>
              <w:top w:val="single" w:color="auto" w:sz="8"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w:t>
            </w:r>
          </w:p>
        </w:tc>
        <w:tc>
          <w:tcPr>
            <w:tcW w:w="523" w:type="pct"/>
            <w:tcBorders>
              <w:top w:val="single" w:color="auto" w:sz="8"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w:t>
            </w:r>
          </w:p>
        </w:tc>
        <w:tc>
          <w:tcPr>
            <w:tcW w:w="470" w:type="pct"/>
            <w:tcBorders>
              <w:top w:val="single" w:color="auto" w:sz="8"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(6)</w:t>
            </w:r>
          </w:p>
        </w:tc>
        <w:tc>
          <w:tcPr>
            <w:tcW w:w="523" w:type="pct"/>
            <w:tcBorders>
              <w:top w:val="single" w:color="auto" w:sz="8"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(7)</w:t>
            </w:r>
          </w:p>
        </w:tc>
        <w:tc>
          <w:tcPr>
            <w:tcW w:w="470" w:type="pct"/>
            <w:tcBorders>
              <w:top w:val="single" w:color="auto" w:sz="8"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(8)</w:t>
            </w:r>
          </w:p>
        </w:tc>
      </w:tr>
      <w:tr>
        <w:tblPrEx>
          <w:tblCellMar>
            <w:top w:w="0" w:type="dxa"/>
            <w:left w:w="75" w:type="dxa"/>
            <w:bottom w:w="0" w:type="dxa"/>
            <w:right w:w="75" w:type="dxa"/>
          </w:tblCellMar>
        </w:tblPrEx>
        <w:trPr>
          <w:cantSplit/>
          <w:jc w:val="center"/>
        </w:trPr>
        <w:tc>
          <w:tcPr>
            <w:tcW w:w="975" w:type="pct"/>
            <w:vMerge w:val="continue"/>
            <w:tcBorders>
              <w:left w:val="nil"/>
              <w:bottom w:val="single" w:color="auto" w:sz="6" w:space="0"/>
              <w:right w:val="nil"/>
            </w:tcBorders>
          </w:tcPr>
          <w:p>
            <w:pPr>
              <w:autoSpaceDE w:val="0"/>
              <w:autoSpaceDN w:val="0"/>
              <w:adjustRightInd w:val="0"/>
              <w:snapToGrid w:val="0"/>
              <w:jc w:val="left"/>
              <w:rPr>
                <w:rFonts w:ascii="Times New Roman" w:hAnsi="Times New Roman" w:eastAsia="仿宋" w:cs="Times New Roman"/>
                <w:kern w:val="0"/>
                <w:sz w:val="18"/>
                <w:szCs w:val="18"/>
              </w:rPr>
            </w:pPr>
          </w:p>
        </w:tc>
        <w:tc>
          <w:tcPr>
            <w:tcW w:w="523"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523"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CO</w:t>
            </w:r>
            <w:r>
              <w:rPr>
                <w:rFonts w:ascii="Times New Roman" w:hAnsi="Times New Roman" w:eastAsia="仿宋" w:cs="Times New Roman"/>
                <w:i/>
                <w:iCs/>
                <w:kern w:val="0"/>
                <w:sz w:val="18"/>
                <w:szCs w:val="18"/>
                <w:vertAlign w:val="subscript"/>
              </w:rPr>
              <w:t>2</w:t>
            </w:r>
          </w:p>
        </w:tc>
        <w:tc>
          <w:tcPr>
            <w:tcW w:w="523"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470"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CO</w:t>
            </w:r>
            <w:r>
              <w:rPr>
                <w:rFonts w:ascii="Times New Roman" w:hAnsi="Times New Roman" w:eastAsia="仿宋" w:cs="Times New Roman"/>
                <w:i/>
                <w:iCs/>
                <w:kern w:val="0"/>
                <w:sz w:val="18"/>
                <w:szCs w:val="18"/>
                <w:vertAlign w:val="subscript"/>
              </w:rPr>
              <w:t>2</w:t>
            </w:r>
          </w:p>
        </w:tc>
        <w:tc>
          <w:tcPr>
            <w:tcW w:w="523"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470"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CO</w:t>
            </w:r>
            <w:r>
              <w:rPr>
                <w:rFonts w:ascii="Times New Roman" w:hAnsi="Times New Roman" w:eastAsia="仿宋" w:cs="Times New Roman"/>
                <w:i/>
                <w:iCs/>
                <w:kern w:val="0"/>
                <w:sz w:val="18"/>
                <w:szCs w:val="18"/>
                <w:vertAlign w:val="subscript"/>
              </w:rPr>
              <w:t>2</w:t>
            </w:r>
          </w:p>
        </w:tc>
        <w:tc>
          <w:tcPr>
            <w:tcW w:w="523"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470"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CO</w:t>
            </w:r>
            <w:r>
              <w:rPr>
                <w:rFonts w:ascii="Times New Roman" w:hAnsi="Times New Roman" w:eastAsia="仿宋" w:cs="Times New Roman"/>
                <w:i/>
                <w:iCs/>
                <w:kern w:val="0"/>
                <w:sz w:val="18"/>
                <w:szCs w:val="18"/>
                <w:vertAlign w:val="subscript"/>
              </w:rPr>
              <w:t>2</w:t>
            </w:r>
          </w:p>
        </w:tc>
      </w:tr>
      <w:tr>
        <w:tblPrEx>
          <w:tblCellMar>
            <w:top w:w="0" w:type="dxa"/>
            <w:left w:w="75" w:type="dxa"/>
            <w:bottom w:w="0" w:type="dxa"/>
            <w:right w:w="75" w:type="dxa"/>
          </w:tblCellMar>
        </w:tblPrEx>
        <w:trPr>
          <w:cantSplit/>
          <w:jc w:val="center"/>
        </w:trPr>
        <w:tc>
          <w:tcPr>
            <w:tcW w:w="975"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i/>
                <w:iCs/>
                <w:kern w:val="0"/>
                <w:sz w:val="18"/>
                <w:szCs w:val="18"/>
              </w:rPr>
            </w:pPr>
            <w:r>
              <w:rPr>
                <w:rFonts w:ascii="Times New Roman" w:hAnsi="Times New Roman" w:eastAsia="仿宋" w:cs="Times New Roman"/>
                <w:i/>
                <w:iCs/>
                <w:kern w:val="0"/>
                <w:sz w:val="18"/>
                <w:szCs w:val="18"/>
              </w:rPr>
              <w:t>cps</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sz w:val="18"/>
                <w:szCs w:val="18"/>
              </w:rPr>
              <w:t>-0.169***</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sz w:val="18"/>
                <w:szCs w:val="18"/>
              </w:rPr>
              <w:t>-0.055***</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-0.210***</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-0.053**</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-0.127***</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-0.076**</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-0.122***</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-0.042**</w:t>
            </w:r>
          </w:p>
        </w:tc>
      </w:tr>
      <w:tr>
        <w:tblPrEx>
          <w:tblCellMar>
            <w:top w:w="0" w:type="dxa"/>
            <w:left w:w="75" w:type="dxa"/>
            <w:bottom w:w="0" w:type="dxa"/>
            <w:right w:w="75" w:type="dxa"/>
          </w:tblCellMar>
        </w:tblPrEx>
        <w:trPr>
          <w:cantSplit/>
          <w:jc w:val="center"/>
        </w:trPr>
        <w:tc>
          <w:tcPr>
            <w:tcW w:w="975"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sz w:val="18"/>
                <w:szCs w:val="18"/>
              </w:rPr>
              <w:t>(0.031)</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sz w:val="18"/>
                <w:szCs w:val="18"/>
              </w:rPr>
              <w:t>(0.020)</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(0.029)</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(0.021)</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(0.049)</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(0.032)</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(0.033)</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(0.021)</w:t>
            </w:r>
          </w:p>
        </w:tc>
      </w:tr>
      <w:tr>
        <w:tblPrEx>
          <w:tblCellMar>
            <w:top w:w="0" w:type="dxa"/>
            <w:left w:w="75" w:type="dxa"/>
            <w:bottom w:w="0" w:type="dxa"/>
            <w:right w:w="75" w:type="dxa"/>
          </w:tblCellMar>
        </w:tblPrEx>
        <w:trPr>
          <w:cantSplit/>
          <w:jc w:val="center"/>
        </w:trPr>
        <w:tc>
          <w:tcPr>
            <w:tcW w:w="975"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控制变量</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r>
      <w:tr>
        <w:tblPrEx>
          <w:tblCellMar>
            <w:top w:w="0" w:type="dxa"/>
            <w:left w:w="75" w:type="dxa"/>
            <w:bottom w:w="0" w:type="dxa"/>
            <w:right w:w="75" w:type="dxa"/>
          </w:tblCellMar>
        </w:tblPrEx>
        <w:trPr>
          <w:cantSplit/>
          <w:jc w:val="center"/>
        </w:trPr>
        <w:tc>
          <w:tcPr>
            <w:tcW w:w="975"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企业固定效应</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r>
      <w:tr>
        <w:tblPrEx>
          <w:tblCellMar>
            <w:top w:w="0" w:type="dxa"/>
            <w:left w:w="75" w:type="dxa"/>
            <w:bottom w:w="0" w:type="dxa"/>
            <w:right w:w="75" w:type="dxa"/>
          </w:tblCellMar>
        </w:tblPrEx>
        <w:trPr>
          <w:cantSplit/>
          <w:jc w:val="center"/>
        </w:trPr>
        <w:tc>
          <w:tcPr>
            <w:tcW w:w="975"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行业固定效应</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r>
      <w:tr>
        <w:tblPrEx>
          <w:tblCellMar>
            <w:top w:w="0" w:type="dxa"/>
            <w:left w:w="75" w:type="dxa"/>
            <w:bottom w:w="0" w:type="dxa"/>
            <w:right w:w="75" w:type="dxa"/>
          </w:tblCellMar>
        </w:tblPrEx>
        <w:trPr>
          <w:cantSplit/>
          <w:jc w:val="center"/>
        </w:trPr>
        <w:tc>
          <w:tcPr>
            <w:tcW w:w="975"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城市-年份固定效应</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r>
      <w:tr>
        <w:tblPrEx>
          <w:tblCellMar>
            <w:top w:w="0" w:type="dxa"/>
            <w:left w:w="75" w:type="dxa"/>
            <w:bottom w:w="0" w:type="dxa"/>
            <w:right w:w="75" w:type="dxa"/>
          </w:tblCellMar>
        </w:tblPrEx>
        <w:trPr>
          <w:cantSplit/>
          <w:jc w:val="center"/>
        </w:trPr>
        <w:tc>
          <w:tcPr>
            <w:tcW w:w="975"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Observations</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328,644</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394,487</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285,864</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349,080</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173,357</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203,655</w:t>
            </w:r>
          </w:p>
        </w:tc>
        <w:tc>
          <w:tcPr>
            <w:tcW w:w="523"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312,956</w:t>
            </w:r>
          </w:p>
        </w:tc>
        <w:tc>
          <w:tcPr>
            <w:tcW w:w="470"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371,653</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cantSplit/>
          <w:jc w:val="center"/>
        </w:trPr>
        <w:tc>
          <w:tcPr>
            <w:tcW w:w="975" w:type="pct"/>
            <w:tcBorders>
              <w:top w:val="nil"/>
              <w:left w:val="nil"/>
              <w:bottom w:val="single" w:color="auto" w:sz="8" w:space="0"/>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R-squared</w:t>
            </w:r>
          </w:p>
        </w:tc>
        <w:tc>
          <w:tcPr>
            <w:tcW w:w="523"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0.855</w:t>
            </w:r>
          </w:p>
        </w:tc>
        <w:tc>
          <w:tcPr>
            <w:tcW w:w="523"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0.878</w:t>
            </w:r>
          </w:p>
        </w:tc>
        <w:tc>
          <w:tcPr>
            <w:tcW w:w="523"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0.861</w:t>
            </w:r>
          </w:p>
        </w:tc>
        <w:tc>
          <w:tcPr>
            <w:tcW w:w="470"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0.876</w:t>
            </w:r>
          </w:p>
        </w:tc>
        <w:tc>
          <w:tcPr>
            <w:tcW w:w="523"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0.882</w:t>
            </w:r>
          </w:p>
        </w:tc>
        <w:tc>
          <w:tcPr>
            <w:tcW w:w="470"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0.902</w:t>
            </w:r>
          </w:p>
        </w:tc>
        <w:tc>
          <w:tcPr>
            <w:tcW w:w="523"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0.856</w:t>
            </w:r>
          </w:p>
        </w:tc>
        <w:tc>
          <w:tcPr>
            <w:tcW w:w="470"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0.879</w:t>
            </w:r>
          </w:p>
        </w:tc>
      </w:tr>
    </w:tbl>
    <w:p>
      <w:pPr>
        <w:adjustRightInd w:val="0"/>
        <w:snapToGrid w:val="0"/>
        <w:ind w:firstLine="276" w:firstLineChars="200"/>
        <w:rPr>
          <w:rFonts w:ascii="Times New Roman" w:hAnsi="Times New Roman" w:eastAsia="宋体" w:cs="Times New Roman"/>
          <w:kern w:val="0"/>
          <w:sz w:val="15"/>
          <w:szCs w:val="15"/>
        </w:rPr>
      </w:pPr>
      <w:r>
        <w:rPr>
          <w:rFonts w:ascii="Times New Roman" w:hAnsi="Times New Roman" w:eastAsia="宋体" w:cs="Times New Roman"/>
          <w:kern w:val="0"/>
          <w:sz w:val="15"/>
          <w:szCs w:val="15"/>
        </w:rPr>
        <w:t>注：列（1）和列（2）控制了两位数和四位数行业固定效应，列（3）和列（4）进一步将样本限定在前后三期窗口样本，列（5）和列（6）则剔除了两位数及四位数行业代码发生变更的企业样本。</w:t>
      </w:r>
    </w:p>
    <w:bookmarkEnd w:id="4"/>
    <w:p>
      <w:pPr>
        <w:pStyle w:val="3"/>
        <w:keepNext w:val="0"/>
        <w:keepLines w:val="0"/>
        <w:widowControl/>
        <w:spacing w:before="178" w:beforeLines="50" w:after="0"/>
        <w:ind w:firstLine="396" w:firstLineChars="200"/>
        <w:jc w:val="left"/>
        <w:rPr>
          <w:rFonts w:ascii="Times New Roman" w:hAnsi="Times New Roman" w:eastAsia="仿宋" w:cs="Times New Roman"/>
          <w:b/>
          <w:bCs/>
          <w:color w:val="auto"/>
          <w:kern w:val="0"/>
          <w:sz w:val="21"/>
          <w:szCs w:val="21"/>
        </w:rPr>
      </w:pPr>
      <w:bookmarkStart w:id="5" w:name="_Toc160282111"/>
      <w:r>
        <w:rPr>
          <w:rFonts w:ascii="Times New Roman" w:hAnsi="Times New Roman" w:eastAsia="仿宋" w:cs="Times New Roman"/>
          <w:b/>
          <w:bCs/>
          <w:color w:val="auto"/>
          <w:kern w:val="0"/>
          <w:sz w:val="21"/>
          <w:szCs w:val="21"/>
        </w:rPr>
        <w:t>3.排除其他政策干扰</w:t>
      </w:r>
      <w:bookmarkEnd w:id="5"/>
    </w:p>
    <w:p>
      <w:pPr>
        <w:spacing w:before="178" w:beforeLines="50"/>
        <w:ind w:firstLine="594" w:firstLineChars="300"/>
        <w:rPr>
          <w:rFonts w:ascii="Times New Roman" w:hAnsi="Times New Roman" w:eastAsia="仿宋" w:cs="Times New Roman"/>
          <w:szCs w:val="21"/>
        </w:rPr>
      </w:pPr>
      <w:r>
        <w:rPr>
          <w:rFonts w:ascii="Times New Roman" w:hAnsi="Times New Roman" w:eastAsia="仿宋" w:cs="Times New Roman"/>
          <w:szCs w:val="21"/>
        </w:rPr>
        <w:t>除生态环境部历年出台的清洁生产标准之外，其他环境治理政策也可能对结果的稳健性造成影响。同本文方法设定，研究进一步采用了多时点DID方法对同时期其他有关外生政策冲击进行了设定，工作量巨大但尤为必要。</w:t>
      </w:r>
      <w:r>
        <w:rPr>
          <w:rFonts w:hint="eastAsia" w:ascii="宋体" w:hAnsi="宋体" w:eastAsia="宋体" w:cs="宋体"/>
          <w:b/>
          <w:bCs/>
          <w:szCs w:val="21"/>
        </w:rPr>
        <w:t>①</w:t>
      </w:r>
      <w:r>
        <w:rPr>
          <w:rFonts w:ascii="Times New Roman" w:hAnsi="Times New Roman" w:eastAsia="仿宋" w:cs="Times New Roman"/>
          <w:b/>
          <w:bCs/>
          <w:szCs w:val="21"/>
        </w:rPr>
        <w:t>“十一五”落后产能淘汰政策</w:t>
      </w:r>
      <w:r>
        <w:rPr>
          <w:rFonts w:ascii="Times New Roman" w:hAnsi="Times New Roman" w:eastAsia="仿宋" w:cs="Times New Roman"/>
          <w:szCs w:val="21"/>
        </w:rPr>
        <w:t>。2005年，“十一五”规划改变了以往浓度控制的思路，转而采取总量减排的规制思路，明确提出在“十一五”期末全国主要污染物（二氧化硫和化学需氧量）排放总量减少10%，并强调将总量目标实现纳入官员绩效考核。本文在对年份固定效应进行控制的基础上，需要从更具体行业层面排除“十一五”期间落后生产能力淘汰政策影响。分析可知，这一政策在2007年涉及四位数行业有炼钢炼铁（3220）和电解铝（3316），2008年涉及行业有造纸行业（2210）和味精制造业（1461）等。基于多时点DID政策设定方法构造“十一五”期间落后产能淘汰政策变量</w:t>
      </w:r>
      <w:r>
        <w:rPr>
          <w:rFonts w:ascii="Times New Roman" w:hAnsi="Times New Roman" w:eastAsia="仿宋" w:cs="Times New Roman"/>
          <w:i/>
          <w:iCs/>
          <w:szCs w:val="21"/>
        </w:rPr>
        <w:t>eli_policy</w:t>
      </w:r>
      <w:r>
        <w:rPr>
          <w:rFonts w:ascii="Times New Roman" w:hAnsi="Times New Roman" w:eastAsia="仿宋" w:cs="Times New Roman"/>
          <w:szCs w:val="21"/>
        </w:rPr>
        <w:t>。</w:t>
      </w:r>
      <w:r>
        <w:rPr>
          <w:rFonts w:hint="eastAsia" w:ascii="宋体" w:hAnsi="宋体" w:eastAsia="宋体" w:cs="宋体"/>
          <w:b/>
          <w:bCs/>
          <w:szCs w:val="21"/>
        </w:rPr>
        <w:t>②</w:t>
      </w:r>
      <w:r>
        <w:rPr>
          <w:rFonts w:ascii="Times New Roman" w:hAnsi="Times New Roman" w:eastAsia="仿宋" w:cs="Times New Roman"/>
          <w:b/>
          <w:bCs/>
          <w:szCs w:val="21"/>
        </w:rPr>
        <w:t>低碳城市试点政策。</w:t>
      </w:r>
      <w:r>
        <w:rPr>
          <w:rFonts w:ascii="Times New Roman" w:hAnsi="Times New Roman" w:eastAsia="仿宋" w:cs="Times New Roman"/>
          <w:szCs w:val="21"/>
        </w:rPr>
        <w:t>为落实中国气候行动目标以及控制温室气体排放，2010年国家发改委印发了《关于开展低碳省区和低碳城市试点工作的通知》，陆续启动了两批试点省市。第一批试点自2010年开始实施，包括广东、辽宁、湖北、陕西等省份与天津、重庆、深圳、厦门等城市（共包含82个城市），第二批试点自2013年开始实施，包括海南省及其他28个城市（共包含33个城市）。由于本文研究样本截至2012年，因此仅考虑第一批试点政策冲击的影响，构造低碳城市试点政策变量</w:t>
      </w:r>
      <w:r>
        <w:rPr>
          <w:rFonts w:ascii="Times New Roman" w:hAnsi="Times New Roman" w:eastAsia="仿宋" w:cs="Times New Roman"/>
          <w:i/>
          <w:iCs/>
          <w:szCs w:val="21"/>
        </w:rPr>
        <w:t>lc_policy。</w:t>
      </w:r>
      <w:r>
        <w:rPr>
          <w:rFonts w:hint="eastAsia" w:ascii="宋体" w:hAnsi="宋体" w:eastAsia="宋体" w:cs="宋体"/>
          <w:b/>
          <w:bCs/>
          <w:szCs w:val="21"/>
        </w:rPr>
        <w:t>③</w:t>
      </w:r>
      <w:r>
        <w:rPr>
          <w:rFonts w:ascii="Times New Roman" w:hAnsi="Times New Roman" w:eastAsia="仿宋" w:cs="Times New Roman"/>
          <w:b/>
          <w:bCs/>
          <w:szCs w:val="21"/>
        </w:rPr>
        <w:t>排污权交易试点政策。</w:t>
      </w:r>
      <w:r>
        <w:rPr>
          <w:rFonts w:ascii="Times New Roman" w:hAnsi="Times New Roman" w:eastAsia="仿宋" w:cs="Times New Roman"/>
          <w:szCs w:val="21"/>
        </w:rPr>
        <w:t>2007年，财政部、生态环境部和国家发改委批复了天津、河北、山西、内蒙古、江苏、浙江、河南、湖北、湖南、重庆和陕西11个省份开展排污权交易制度试点。虽然2002年也进行了排污权交易的“4+3+1”计划，但交易活跃度较低、效果不显著（齐绍洲等，2018）。鉴于此，研究重点构造了2007排污权交易试点政策</w:t>
      </w:r>
      <w:r>
        <w:rPr>
          <w:rFonts w:ascii="Times New Roman" w:hAnsi="Times New Roman" w:eastAsia="仿宋" w:cs="Times New Roman"/>
          <w:i/>
          <w:iCs/>
          <w:szCs w:val="21"/>
        </w:rPr>
        <w:t>rt_policy</w:t>
      </w:r>
      <w:r>
        <w:rPr>
          <w:rFonts w:ascii="Times New Roman" w:hAnsi="Times New Roman" w:eastAsia="仿宋" w:cs="Times New Roman"/>
          <w:szCs w:val="21"/>
        </w:rPr>
        <w:t>。</w:t>
      </w:r>
      <w:r>
        <w:rPr>
          <w:rFonts w:hint="eastAsia" w:ascii="宋体" w:hAnsi="宋体" w:eastAsia="宋体" w:cs="宋体"/>
          <w:b/>
          <w:bCs/>
          <w:szCs w:val="21"/>
        </w:rPr>
        <w:t>④</w:t>
      </w:r>
      <w:r>
        <w:rPr>
          <w:rFonts w:ascii="Times New Roman" w:hAnsi="Times New Roman" w:eastAsia="仿宋" w:cs="Times New Roman"/>
          <w:b/>
          <w:bCs/>
          <w:szCs w:val="21"/>
        </w:rPr>
        <w:t>区域及流域限批政策。</w:t>
      </w:r>
      <w:r>
        <w:rPr>
          <w:rFonts w:ascii="Times New Roman" w:hAnsi="Times New Roman" w:eastAsia="仿宋" w:cs="Times New Roman"/>
          <w:szCs w:val="21"/>
        </w:rPr>
        <w:t>为确保节能减排目标的实现，国务院印发《关于印发节能减排综合性工作方案的通知》（国发〔2007〕15号），出台了区域限批政策、流域限批政策</w:t>
      </w:r>
      <w:r>
        <w:rPr>
          <w:rStyle w:val="33"/>
          <w:rFonts w:ascii="Times New Roman" w:hAnsi="Times New Roman" w:eastAsia="仿宋" w:cs="Times New Roman"/>
          <w:szCs w:val="21"/>
        </w:rPr>
        <w:footnoteReference w:id="1"/>
      </w:r>
      <w:r>
        <w:rPr>
          <w:rFonts w:ascii="Times New Roman" w:hAnsi="Times New Roman" w:eastAsia="仿宋" w:cs="Times New Roman"/>
          <w:szCs w:val="21"/>
        </w:rPr>
        <w:t>，可能将通过限制了新企业的进入以及对被限批的地区实施更严格的环境规制政策的方式，影响企业环境治理与碳减排行为。综上，表</w:t>
      </w:r>
      <w:r>
        <w:rPr>
          <w:rFonts w:hint="eastAsia" w:ascii="Times New Roman" w:hAnsi="Times New Roman" w:eastAsia="仿宋" w:cs="Times New Roman"/>
          <w:szCs w:val="21"/>
        </w:rPr>
        <w:t>I</w:t>
      </w:r>
      <w:r>
        <w:rPr>
          <w:rFonts w:ascii="Times New Roman" w:hAnsi="Times New Roman" w:eastAsia="仿宋" w:cs="Times New Roman"/>
          <w:szCs w:val="21"/>
        </w:rPr>
        <w:t>2中，列（1）和列（2）对前三个政策进行联合控制，列（3）和列（4）进一步剔除了区域及流域限批的地区样本。</w:t>
      </w:r>
    </w:p>
    <w:p>
      <w:pPr>
        <w:snapToGrid w:val="0"/>
        <w:ind w:firstLine="336" w:firstLineChars="200"/>
        <w:jc w:val="center"/>
        <w:rPr>
          <w:rFonts w:hint="eastAsia" w:ascii="黑体" w:hAnsi="黑体" w:eastAsia="黑体" w:cs="黑体"/>
          <w:sz w:val="18"/>
          <w:szCs w:val="18"/>
        </w:rPr>
      </w:pPr>
      <w:r>
        <w:rPr>
          <w:rFonts w:hint="eastAsia" w:ascii="黑体" w:hAnsi="黑体" w:eastAsia="黑体" w:cs="黑体"/>
          <w:sz w:val="18"/>
          <w:szCs w:val="18"/>
        </w:rPr>
        <w:t>表I2 排除其他政策干扰</w:t>
      </w:r>
    </w:p>
    <w:tbl>
      <w:tblPr>
        <w:tblStyle w:val="24"/>
        <w:tblW w:w="5000" w:type="pct"/>
        <w:jc w:val="center"/>
        <w:tblLayout w:type="autofit"/>
        <w:tblCellMar>
          <w:top w:w="0" w:type="dxa"/>
          <w:left w:w="75" w:type="dxa"/>
          <w:bottom w:w="0" w:type="dxa"/>
          <w:right w:w="75" w:type="dxa"/>
        </w:tblCellMar>
      </w:tblPr>
      <w:tblGrid>
        <w:gridCol w:w="2712"/>
        <w:gridCol w:w="1437"/>
        <w:gridCol w:w="1437"/>
        <w:gridCol w:w="1438"/>
        <w:gridCol w:w="1438"/>
      </w:tblGrid>
      <w:tr>
        <w:tblPrEx>
          <w:tblCellMar>
            <w:top w:w="0" w:type="dxa"/>
            <w:left w:w="75" w:type="dxa"/>
            <w:bottom w:w="0" w:type="dxa"/>
            <w:right w:w="75" w:type="dxa"/>
          </w:tblCellMar>
        </w:tblPrEx>
        <w:trPr>
          <w:cantSplit/>
          <w:jc w:val="center"/>
        </w:trPr>
        <w:tc>
          <w:tcPr>
            <w:tcW w:w="1602" w:type="pct"/>
            <w:vMerge w:val="restart"/>
            <w:tcBorders>
              <w:top w:val="single" w:color="auto" w:sz="8" w:space="0"/>
              <w:left w:val="nil"/>
              <w:right w:val="nil"/>
            </w:tcBorders>
          </w:tcPr>
          <w:p>
            <w:pPr>
              <w:autoSpaceDE w:val="0"/>
              <w:autoSpaceDN w:val="0"/>
              <w:adjustRightInd w:val="0"/>
              <w:snapToGrid w:val="0"/>
              <w:jc w:val="left"/>
              <w:rPr>
                <w:rFonts w:ascii="Times New Roman" w:hAnsi="Times New Roman" w:cs="Times New Roman"/>
                <w:kern w:val="0"/>
                <w:szCs w:val="21"/>
              </w:rPr>
            </w:pPr>
          </w:p>
        </w:tc>
        <w:tc>
          <w:tcPr>
            <w:tcW w:w="849" w:type="pct"/>
            <w:tcBorders>
              <w:top w:val="single" w:color="auto" w:sz="8" w:space="0"/>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(1)</w:t>
            </w:r>
          </w:p>
        </w:tc>
        <w:tc>
          <w:tcPr>
            <w:tcW w:w="849" w:type="pct"/>
            <w:tcBorders>
              <w:top w:val="single" w:color="auto" w:sz="8" w:space="0"/>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(2)</w:t>
            </w:r>
          </w:p>
        </w:tc>
        <w:tc>
          <w:tcPr>
            <w:tcW w:w="849" w:type="pct"/>
            <w:tcBorders>
              <w:top w:val="single" w:color="auto" w:sz="8" w:space="0"/>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(3)</w:t>
            </w:r>
          </w:p>
        </w:tc>
        <w:tc>
          <w:tcPr>
            <w:tcW w:w="849" w:type="pct"/>
            <w:tcBorders>
              <w:top w:val="single" w:color="auto" w:sz="8" w:space="0"/>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(4)</w:t>
            </w:r>
          </w:p>
        </w:tc>
      </w:tr>
      <w:tr>
        <w:tblPrEx>
          <w:tblCellMar>
            <w:top w:w="0" w:type="dxa"/>
            <w:left w:w="75" w:type="dxa"/>
            <w:bottom w:w="0" w:type="dxa"/>
            <w:right w:w="75" w:type="dxa"/>
          </w:tblCellMar>
        </w:tblPrEx>
        <w:trPr>
          <w:cantSplit/>
          <w:jc w:val="center"/>
        </w:trPr>
        <w:tc>
          <w:tcPr>
            <w:tcW w:w="1602" w:type="pct"/>
            <w:vMerge w:val="continue"/>
            <w:tcBorders>
              <w:left w:val="nil"/>
              <w:bottom w:val="single" w:color="auto" w:sz="6" w:space="0"/>
              <w:right w:val="nil"/>
            </w:tcBorders>
          </w:tcPr>
          <w:p>
            <w:pPr>
              <w:autoSpaceDE w:val="0"/>
              <w:autoSpaceDN w:val="0"/>
              <w:adjustRightInd w:val="0"/>
              <w:snapToGrid w:val="0"/>
              <w:jc w:val="left"/>
              <w:rPr>
                <w:rFonts w:ascii="Times New Roman" w:hAnsi="Times New Roman" w:cs="Times New Roman"/>
                <w:kern w:val="0"/>
                <w:szCs w:val="21"/>
              </w:rPr>
            </w:pPr>
          </w:p>
        </w:tc>
        <w:tc>
          <w:tcPr>
            <w:tcW w:w="849"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ln</w:t>
            </w:r>
            <w:r>
              <w:rPr>
                <w:rFonts w:ascii="Times New Roman" w:hAnsi="Times New Roman" w:cs="Times New Roman"/>
                <w:i/>
                <w:iCs/>
                <w:kern w:val="0"/>
                <w:szCs w:val="21"/>
              </w:rPr>
              <w:t>SO</w:t>
            </w:r>
            <w:r>
              <w:rPr>
                <w:rFonts w:ascii="Times New Roman" w:hAnsi="Times New Roman" w:cs="Times New Roman"/>
                <w:i/>
                <w:iCs/>
                <w:kern w:val="0"/>
                <w:szCs w:val="21"/>
                <w:vertAlign w:val="subscript"/>
              </w:rPr>
              <w:t>2</w:t>
            </w:r>
          </w:p>
        </w:tc>
        <w:tc>
          <w:tcPr>
            <w:tcW w:w="849"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ln</w:t>
            </w:r>
            <w:r>
              <w:rPr>
                <w:rFonts w:ascii="Times New Roman" w:hAnsi="Times New Roman" w:cs="Times New Roman"/>
                <w:i/>
                <w:iCs/>
                <w:kern w:val="0"/>
                <w:szCs w:val="21"/>
              </w:rPr>
              <w:t>CO</w:t>
            </w:r>
            <w:r>
              <w:rPr>
                <w:rFonts w:ascii="Times New Roman" w:hAnsi="Times New Roman" w:cs="Times New Roman"/>
                <w:i/>
                <w:iCs/>
                <w:kern w:val="0"/>
                <w:szCs w:val="21"/>
                <w:vertAlign w:val="subscript"/>
              </w:rPr>
              <w:t>2</w:t>
            </w:r>
          </w:p>
        </w:tc>
        <w:tc>
          <w:tcPr>
            <w:tcW w:w="849"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ln</w:t>
            </w:r>
            <w:r>
              <w:rPr>
                <w:rFonts w:ascii="Times New Roman" w:hAnsi="Times New Roman" w:cs="Times New Roman"/>
                <w:i/>
                <w:iCs/>
                <w:kern w:val="0"/>
                <w:szCs w:val="21"/>
              </w:rPr>
              <w:t>SO</w:t>
            </w:r>
            <w:r>
              <w:rPr>
                <w:rFonts w:ascii="Times New Roman" w:hAnsi="Times New Roman" w:cs="Times New Roman"/>
                <w:i/>
                <w:iCs/>
                <w:kern w:val="0"/>
                <w:szCs w:val="21"/>
                <w:vertAlign w:val="subscript"/>
              </w:rPr>
              <w:t>2</w:t>
            </w:r>
          </w:p>
        </w:tc>
        <w:tc>
          <w:tcPr>
            <w:tcW w:w="849"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ln</w:t>
            </w:r>
            <w:r>
              <w:rPr>
                <w:rFonts w:ascii="Times New Roman" w:hAnsi="Times New Roman" w:cs="Times New Roman"/>
                <w:i/>
                <w:iCs/>
                <w:kern w:val="0"/>
                <w:szCs w:val="21"/>
              </w:rPr>
              <w:t>CO</w:t>
            </w:r>
            <w:r>
              <w:rPr>
                <w:rFonts w:ascii="Times New Roman" w:hAnsi="Times New Roman" w:cs="Times New Roman"/>
                <w:i/>
                <w:iCs/>
                <w:kern w:val="0"/>
                <w:szCs w:val="21"/>
                <w:vertAlign w:val="subscript"/>
              </w:rPr>
              <w:t>2</w:t>
            </w:r>
          </w:p>
        </w:tc>
      </w:tr>
      <w:tr>
        <w:tblPrEx>
          <w:tblCellMar>
            <w:top w:w="0" w:type="dxa"/>
            <w:left w:w="75" w:type="dxa"/>
            <w:bottom w:w="0" w:type="dxa"/>
            <w:right w:w="75" w:type="dxa"/>
          </w:tblCellMar>
        </w:tblPrEx>
        <w:trPr>
          <w:cantSplit/>
          <w:jc w:val="center"/>
        </w:trPr>
        <w:tc>
          <w:tcPr>
            <w:tcW w:w="1602" w:type="pct"/>
            <w:tcBorders>
              <w:top w:val="nil"/>
              <w:left w:val="nil"/>
              <w:bottom w:val="nil"/>
              <w:right w:val="nil"/>
            </w:tcBorders>
          </w:tcPr>
          <w:p>
            <w:pPr>
              <w:autoSpaceDE w:val="0"/>
              <w:autoSpaceDN w:val="0"/>
              <w:adjustRightInd w:val="0"/>
              <w:snapToGrid w:val="0"/>
              <w:jc w:val="left"/>
              <w:rPr>
                <w:rFonts w:ascii="Times New Roman" w:hAnsi="Times New Roman" w:cs="Times New Roman"/>
                <w:i/>
                <w:iCs/>
                <w:kern w:val="0"/>
                <w:szCs w:val="21"/>
              </w:rPr>
            </w:pPr>
            <w:r>
              <w:rPr>
                <w:rFonts w:ascii="Times New Roman" w:hAnsi="Times New Roman" w:cs="Times New Roman"/>
                <w:i/>
                <w:iCs/>
                <w:kern w:val="0"/>
                <w:szCs w:val="21"/>
              </w:rPr>
              <w:t>cps</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-0.193***</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-0.059***</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-0.205***</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-0.060***</w:t>
            </w:r>
          </w:p>
        </w:tc>
      </w:tr>
      <w:tr>
        <w:tblPrEx>
          <w:tblCellMar>
            <w:top w:w="0" w:type="dxa"/>
            <w:left w:w="75" w:type="dxa"/>
            <w:bottom w:w="0" w:type="dxa"/>
            <w:right w:w="75" w:type="dxa"/>
          </w:tblCellMar>
        </w:tblPrEx>
        <w:trPr>
          <w:cantSplit/>
          <w:jc w:val="center"/>
        </w:trPr>
        <w:tc>
          <w:tcPr>
            <w:tcW w:w="1602"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Cs w:val="21"/>
              </w:rPr>
            </w:pP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(0.032)</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(0.021)</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(0.033)</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(0.022)</w:t>
            </w:r>
          </w:p>
        </w:tc>
      </w:tr>
      <w:tr>
        <w:tblPrEx>
          <w:tblCellMar>
            <w:top w:w="0" w:type="dxa"/>
            <w:left w:w="75" w:type="dxa"/>
            <w:bottom w:w="0" w:type="dxa"/>
            <w:right w:w="75" w:type="dxa"/>
          </w:tblCellMar>
        </w:tblPrEx>
        <w:trPr>
          <w:cantSplit/>
          <w:jc w:val="center"/>
        </w:trPr>
        <w:tc>
          <w:tcPr>
            <w:tcW w:w="1602"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Cs w:val="21"/>
              </w:rPr>
            </w:pPr>
            <w:r>
              <w:rPr>
                <w:rFonts w:ascii="Times New Roman" w:hAnsi="Times New Roman" w:eastAsia="仿宋" w:cs="Times New Roman"/>
                <w:kern w:val="0"/>
                <w:szCs w:val="21"/>
              </w:rPr>
              <w:t>其他干扰政策</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eastAsia="仿宋" w:cs="Times New Roman"/>
                <w:kern w:val="0"/>
                <w:szCs w:val="21"/>
              </w:rPr>
              <w:t>有</w:t>
            </w:r>
          </w:p>
        </w:tc>
      </w:tr>
      <w:tr>
        <w:tblPrEx>
          <w:tblCellMar>
            <w:top w:w="0" w:type="dxa"/>
            <w:left w:w="75" w:type="dxa"/>
            <w:bottom w:w="0" w:type="dxa"/>
            <w:right w:w="75" w:type="dxa"/>
          </w:tblCellMar>
        </w:tblPrEx>
        <w:trPr>
          <w:cantSplit/>
          <w:jc w:val="center"/>
        </w:trPr>
        <w:tc>
          <w:tcPr>
            <w:tcW w:w="1602"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Cs w:val="21"/>
              </w:rPr>
            </w:pPr>
            <w:r>
              <w:rPr>
                <w:rFonts w:ascii="Times New Roman" w:hAnsi="Times New Roman" w:eastAsia="仿宋" w:cs="Times New Roman"/>
                <w:kern w:val="0"/>
                <w:szCs w:val="21"/>
              </w:rPr>
              <w:t>控制变量</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r>
      <w:tr>
        <w:tblPrEx>
          <w:tblCellMar>
            <w:top w:w="0" w:type="dxa"/>
            <w:left w:w="75" w:type="dxa"/>
            <w:bottom w:w="0" w:type="dxa"/>
            <w:right w:w="75" w:type="dxa"/>
          </w:tblCellMar>
        </w:tblPrEx>
        <w:trPr>
          <w:cantSplit/>
          <w:jc w:val="center"/>
        </w:trPr>
        <w:tc>
          <w:tcPr>
            <w:tcW w:w="1602"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Cs w:val="21"/>
              </w:rPr>
            </w:pPr>
            <w:r>
              <w:rPr>
                <w:rFonts w:ascii="Times New Roman" w:hAnsi="Times New Roman" w:eastAsia="仿宋" w:cs="Times New Roman"/>
                <w:kern w:val="0"/>
                <w:szCs w:val="21"/>
              </w:rPr>
              <w:t>企业固定效应</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r>
      <w:tr>
        <w:tblPrEx>
          <w:tblCellMar>
            <w:top w:w="0" w:type="dxa"/>
            <w:left w:w="75" w:type="dxa"/>
            <w:bottom w:w="0" w:type="dxa"/>
            <w:right w:w="75" w:type="dxa"/>
          </w:tblCellMar>
        </w:tblPrEx>
        <w:trPr>
          <w:cantSplit/>
          <w:jc w:val="center"/>
        </w:trPr>
        <w:tc>
          <w:tcPr>
            <w:tcW w:w="1602"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Cs w:val="21"/>
              </w:rPr>
            </w:pPr>
            <w:r>
              <w:rPr>
                <w:rFonts w:ascii="Times New Roman" w:hAnsi="Times New Roman" w:eastAsia="仿宋" w:cs="Times New Roman"/>
                <w:kern w:val="0"/>
                <w:szCs w:val="21"/>
              </w:rPr>
              <w:t>行业固定效应</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r>
      <w:tr>
        <w:tblPrEx>
          <w:tblCellMar>
            <w:top w:w="0" w:type="dxa"/>
            <w:left w:w="75" w:type="dxa"/>
            <w:bottom w:w="0" w:type="dxa"/>
            <w:right w:w="75" w:type="dxa"/>
          </w:tblCellMar>
        </w:tblPrEx>
        <w:trPr>
          <w:cantSplit/>
          <w:jc w:val="center"/>
        </w:trPr>
        <w:tc>
          <w:tcPr>
            <w:tcW w:w="1602"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Cs w:val="21"/>
              </w:rPr>
            </w:pPr>
            <w:r>
              <w:rPr>
                <w:rFonts w:ascii="Times New Roman" w:hAnsi="Times New Roman" w:eastAsia="仿宋" w:cs="Times New Roman"/>
                <w:kern w:val="0"/>
                <w:szCs w:val="21"/>
              </w:rPr>
              <w:t>城市-年份固定效应</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r>
      <w:tr>
        <w:tblPrEx>
          <w:tblCellMar>
            <w:top w:w="0" w:type="dxa"/>
            <w:left w:w="75" w:type="dxa"/>
            <w:bottom w:w="0" w:type="dxa"/>
            <w:right w:w="75" w:type="dxa"/>
          </w:tblCellMar>
        </w:tblPrEx>
        <w:trPr>
          <w:cantSplit/>
          <w:jc w:val="center"/>
        </w:trPr>
        <w:tc>
          <w:tcPr>
            <w:tcW w:w="1602"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Cs w:val="21"/>
              </w:rPr>
            </w:pPr>
            <w:r>
              <w:rPr>
                <w:rFonts w:ascii="Times New Roman" w:hAnsi="Times New Roman" w:cs="Times New Roman"/>
                <w:kern w:val="0"/>
                <w:szCs w:val="21"/>
              </w:rPr>
              <w:t>Observations</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317,796</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379,607</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307,881</w:t>
            </w:r>
          </w:p>
        </w:tc>
        <w:tc>
          <w:tcPr>
            <w:tcW w:w="849"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368,531</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cantSplit/>
          <w:jc w:val="center"/>
        </w:trPr>
        <w:tc>
          <w:tcPr>
            <w:tcW w:w="1602" w:type="pct"/>
            <w:tcBorders>
              <w:top w:val="nil"/>
              <w:left w:val="nil"/>
              <w:bottom w:val="single" w:color="auto" w:sz="8" w:space="0"/>
              <w:right w:val="nil"/>
            </w:tcBorders>
          </w:tcPr>
          <w:p>
            <w:pPr>
              <w:autoSpaceDE w:val="0"/>
              <w:autoSpaceDN w:val="0"/>
              <w:adjustRightInd w:val="0"/>
              <w:snapToGrid w:val="0"/>
              <w:jc w:val="left"/>
              <w:rPr>
                <w:rFonts w:ascii="Times New Roman" w:hAnsi="Times New Roman" w:cs="Times New Roman"/>
                <w:kern w:val="0"/>
                <w:szCs w:val="21"/>
              </w:rPr>
            </w:pPr>
            <w:r>
              <w:rPr>
                <w:rFonts w:ascii="Times New Roman" w:hAnsi="Times New Roman" w:cs="Times New Roman"/>
                <w:kern w:val="0"/>
                <w:szCs w:val="21"/>
              </w:rPr>
              <w:t>R-squared</w:t>
            </w:r>
          </w:p>
        </w:tc>
        <w:tc>
          <w:tcPr>
            <w:tcW w:w="849"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0.856</w:t>
            </w:r>
          </w:p>
        </w:tc>
        <w:tc>
          <w:tcPr>
            <w:tcW w:w="849"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0.879</w:t>
            </w:r>
          </w:p>
        </w:tc>
        <w:tc>
          <w:tcPr>
            <w:tcW w:w="849"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0.856</w:t>
            </w:r>
          </w:p>
        </w:tc>
        <w:tc>
          <w:tcPr>
            <w:tcW w:w="849"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0.878</w:t>
            </w:r>
          </w:p>
        </w:tc>
      </w:tr>
    </w:tbl>
    <w:p>
      <w:pPr>
        <w:adjustRightInd w:val="0"/>
        <w:snapToGrid w:val="0"/>
        <w:ind w:firstLine="336" w:firstLineChars="200"/>
        <w:rPr>
          <w:rFonts w:ascii="Times New Roman" w:hAnsi="Times New Roman" w:eastAsia="仿宋" w:cs="Times New Roman"/>
          <w:sz w:val="18"/>
          <w:szCs w:val="18"/>
        </w:rPr>
      </w:pPr>
      <w:r>
        <w:rPr>
          <w:rFonts w:ascii="Times New Roman" w:hAnsi="Times New Roman" w:eastAsia="仿宋" w:cs="Times New Roman"/>
          <w:sz w:val="18"/>
          <w:szCs w:val="18"/>
        </w:rPr>
        <w:t>注：由于控制了城市-年份固定效应，地区性试点政策变量在回归时均被吸收。</w:t>
      </w:r>
    </w:p>
    <w:p>
      <w:pPr>
        <w:pStyle w:val="3"/>
        <w:keepNext w:val="0"/>
        <w:keepLines w:val="0"/>
        <w:widowControl/>
        <w:spacing w:before="0" w:after="0"/>
        <w:ind w:firstLine="396" w:firstLineChars="200"/>
        <w:jc w:val="left"/>
        <w:rPr>
          <w:rFonts w:ascii="Times New Roman" w:hAnsi="Times New Roman" w:eastAsia="仿宋" w:cs="Times New Roman"/>
          <w:color w:val="auto"/>
          <w:kern w:val="0"/>
          <w:sz w:val="21"/>
          <w:szCs w:val="21"/>
        </w:rPr>
      </w:pPr>
      <w:bookmarkStart w:id="6" w:name="_Toc160282112"/>
    </w:p>
    <w:p>
      <w:pPr>
        <w:pStyle w:val="3"/>
        <w:keepNext w:val="0"/>
        <w:keepLines w:val="0"/>
        <w:widowControl/>
        <w:spacing w:before="0" w:after="0"/>
        <w:ind w:firstLine="396" w:firstLineChars="200"/>
        <w:jc w:val="left"/>
        <w:rPr>
          <w:rFonts w:ascii="Times New Roman" w:hAnsi="Times New Roman" w:eastAsia="仿宋" w:cs="Times New Roman"/>
          <w:b/>
          <w:bCs/>
          <w:color w:val="auto"/>
          <w:kern w:val="0"/>
          <w:sz w:val="21"/>
          <w:szCs w:val="21"/>
        </w:rPr>
      </w:pPr>
      <w:r>
        <w:rPr>
          <w:rFonts w:ascii="Times New Roman" w:hAnsi="Times New Roman" w:eastAsia="仿宋" w:cs="Times New Roman"/>
          <w:b/>
          <w:bCs/>
          <w:color w:val="auto"/>
          <w:kern w:val="0"/>
          <w:sz w:val="21"/>
          <w:szCs w:val="21"/>
        </w:rPr>
        <w:t>4.政策设定调整</w:t>
      </w:r>
      <w:bookmarkEnd w:id="6"/>
    </w:p>
    <w:p>
      <w:pPr>
        <w:ind w:firstLine="396" w:firstLineChars="200"/>
        <w:rPr>
          <w:rFonts w:ascii="Times New Roman" w:hAnsi="Times New Roman" w:eastAsia="仿宋" w:cs="Times New Roman"/>
          <w:szCs w:val="21"/>
        </w:rPr>
      </w:pPr>
      <w:r>
        <w:rPr>
          <w:rFonts w:ascii="Times New Roman" w:hAnsi="Times New Roman" w:eastAsia="仿宋" w:cs="Times New Roman"/>
          <w:szCs w:val="21"/>
        </w:rPr>
        <w:t>清洁生产标准通常在当年较晚月份生效，若将当年年份设定为政策冲击时间，可能造成政策效果估计偏误。鉴于此，受政策冲击当年之后的样本同基准模型设定为1，根据政策实施的具体月份X，参照Lu et al.(2017)的研究，将政策冲击当年定义为（12-X+1）/12（比如，标准1月份出台则设定为1,6月出台则设定为0.5，进而得到新的清洁生产标准实施变量</w:t>
      </w:r>
      <w:r>
        <w:rPr>
          <w:rFonts w:ascii="Times New Roman" w:hAnsi="Times New Roman" w:eastAsia="仿宋" w:cs="Times New Roman"/>
          <w:i/>
          <w:iCs/>
          <w:szCs w:val="21"/>
        </w:rPr>
        <w:t>cps_new</w:t>
      </w:r>
      <w:r>
        <w:rPr>
          <w:rFonts w:ascii="Times New Roman" w:hAnsi="Times New Roman" w:eastAsia="仿宋" w:cs="Times New Roman"/>
          <w:szCs w:val="21"/>
        </w:rPr>
        <w:t>,这一设定有助于提高政策效果估计精度。表</w:t>
      </w:r>
      <w:r>
        <w:rPr>
          <w:rFonts w:hint="eastAsia" w:ascii="Times New Roman" w:hAnsi="Times New Roman" w:eastAsia="仿宋" w:cs="Times New Roman"/>
          <w:szCs w:val="21"/>
        </w:rPr>
        <w:t>I</w:t>
      </w:r>
      <w:r>
        <w:rPr>
          <w:rFonts w:ascii="Times New Roman" w:hAnsi="Times New Roman" w:eastAsia="仿宋" w:cs="Times New Roman"/>
          <w:szCs w:val="21"/>
        </w:rPr>
        <w:t>3中，列（1）和列（2）发现，新设定政策变量的减污降碳效应同样显著，结论稳健。</w:t>
      </w:r>
    </w:p>
    <w:p>
      <w:pPr>
        <w:ind w:firstLine="396" w:firstLineChars="200"/>
        <w:rPr>
          <w:rFonts w:ascii="Times New Roman" w:hAnsi="Times New Roman" w:eastAsia="仿宋" w:cs="Times New Roman"/>
          <w:szCs w:val="21"/>
        </w:rPr>
      </w:pPr>
    </w:p>
    <w:p>
      <w:pPr>
        <w:pStyle w:val="3"/>
        <w:keepNext w:val="0"/>
        <w:keepLines w:val="0"/>
        <w:widowControl/>
        <w:spacing w:before="0" w:after="0"/>
        <w:ind w:firstLine="396" w:firstLineChars="200"/>
        <w:jc w:val="left"/>
        <w:rPr>
          <w:rFonts w:ascii="Times New Roman" w:hAnsi="Times New Roman" w:eastAsia="仿宋" w:cs="Times New Roman"/>
          <w:b/>
          <w:bCs/>
          <w:color w:val="auto"/>
          <w:kern w:val="0"/>
          <w:sz w:val="21"/>
          <w:szCs w:val="21"/>
        </w:rPr>
      </w:pPr>
      <w:bookmarkStart w:id="7" w:name="_Toc160282113"/>
      <w:r>
        <w:rPr>
          <w:rFonts w:ascii="Times New Roman" w:hAnsi="Times New Roman" w:eastAsia="仿宋" w:cs="Times New Roman"/>
          <w:b/>
          <w:bCs/>
          <w:color w:val="auto"/>
          <w:kern w:val="0"/>
          <w:sz w:val="21"/>
          <w:szCs w:val="21"/>
        </w:rPr>
        <w:t>5.控制行业因素影响</w:t>
      </w:r>
      <w:bookmarkEnd w:id="7"/>
    </w:p>
    <w:p>
      <w:pPr>
        <w:ind w:firstLine="396" w:firstLineChars="200"/>
        <w:rPr>
          <w:rFonts w:ascii="Times New Roman" w:hAnsi="Times New Roman" w:eastAsia="仿宋" w:cs="Times New Roman"/>
          <w:szCs w:val="21"/>
        </w:rPr>
      </w:pPr>
      <w:r>
        <w:rPr>
          <w:rFonts w:ascii="Times New Roman" w:hAnsi="Times New Roman" w:eastAsia="仿宋" w:cs="Times New Roman"/>
          <w:szCs w:val="21"/>
        </w:rPr>
        <w:t>为排除行业层面因素影响，表</w:t>
      </w:r>
      <w:r>
        <w:rPr>
          <w:rFonts w:hint="eastAsia" w:ascii="Times New Roman" w:hAnsi="Times New Roman" w:eastAsia="仿宋" w:cs="Times New Roman"/>
          <w:szCs w:val="21"/>
        </w:rPr>
        <w:t>I</w:t>
      </w:r>
      <w:r>
        <w:rPr>
          <w:rFonts w:ascii="Times New Roman" w:hAnsi="Times New Roman" w:eastAsia="仿宋" w:cs="Times New Roman"/>
          <w:szCs w:val="21"/>
        </w:rPr>
        <w:t>3中，列（3）至列（4）进一步控制了行业控制变量包括行业技术进步、三位数行业关税、产业政策以及行业集中度等。其中，行业技术进步</w:t>
      </w:r>
      <w:r>
        <w:rPr>
          <w:rFonts w:ascii="Times New Roman" w:hAnsi="Times New Roman" w:eastAsia="仿宋" w:cs="Times New Roman"/>
          <w:i/>
          <w:iCs/>
          <w:szCs w:val="21"/>
        </w:rPr>
        <w:t>ML</w:t>
      </w:r>
      <w:r>
        <w:rPr>
          <w:rFonts w:ascii="Times New Roman" w:hAnsi="Times New Roman" w:eastAsia="仿宋" w:cs="Times New Roman"/>
          <w:szCs w:val="21"/>
        </w:rPr>
        <w:t>，采用行业TFP变动表示，基于数据包络分析和Malmquist指数分解方法以及利用MaxDEA6.0软件测算；行业集中度</w:t>
      </w:r>
      <w:r>
        <w:rPr>
          <w:rFonts w:ascii="Times New Roman" w:hAnsi="Times New Roman" w:eastAsia="仿宋" w:cs="Times New Roman"/>
          <w:i/>
          <w:iCs/>
          <w:szCs w:val="21"/>
        </w:rPr>
        <w:t>HHI</w:t>
      </w:r>
      <w:r>
        <w:rPr>
          <w:rFonts w:ascii="Times New Roman" w:hAnsi="Times New Roman" w:eastAsia="仿宋" w:cs="Times New Roman"/>
          <w:szCs w:val="21"/>
        </w:rPr>
        <w:t>，采用经典赫希曼-赫芬达尔指数HHI表示；行业关税</w:t>
      </w:r>
      <w:r>
        <w:rPr>
          <w:rFonts w:ascii="Times New Roman" w:hAnsi="Times New Roman" w:eastAsia="仿宋" w:cs="Times New Roman"/>
          <w:i/>
          <w:iCs/>
          <w:szCs w:val="21"/>
        </w:rPr>
        <w:t>Tariff</w:t>
      </w:r>
      <w:r>
        <w:rPr>
          <w:rFonts w:ascii="Times New Roman" w:hAnsi="Times New Roman" w:eastAsia="仿宋" w:cs="Times New Roman"/>
          <w:szCs w:val="21"/>
        </w:rPr>
        <w:t>，数据来源于世界银行WITS 数据库报告的三位数行业关税税率数据；产业政策</w:t>
      </w:r>
      <w:r>
        <w:rPr>
          <w:rFonts w:ascii="Times New Roman" w:hAnsi="Times New Roman" w:eastAsia="仿宋" w:cs="Times New Roman"/>
          <w:i/>
          <w:iCs/>
          <w:szCs w:val="21"/>
        </w:rPr>
        <w:t>IP</w:t>
      </w:r>
      <w:r>
        <w:rPr>
          <w:rFonts w:ascii="Times New Roman" w:hAnsi="Times New Roman" w:eastAsia="仿宋" w:cs="Times New Roman"/>
          <w:szCs w:val="21"/>
        </w:rPr>
        <w:t>，参照杨继东和罗宝路（2018）方法，以国民经济和社会发展五年规划纲要文件为基础，利用文本分析法对“十一五”规划中的产业支持内容进行分析，若中央或省区明确提及某一行业发展，则该行业产业政策</w:t>
      </w:r>
      <w:r>
        <w:rPr>
          <w:rFonts w:ascii="Times New Roman" w:hAnsi="Times New Roman" w:eastAsia="仿宋" w:cs="Times New Roman"/>
          <w:i/>
          <w:iCs/>
          <w:szCs w:val="21"/>
        </w:rPr>
        <w:t>IP</w:t>
      </w:r>
      <w:r>
        <w:rPr>
          <w:rFonts w:ascii="Times New Roman" w:hAnsi="Times New Roman" w:eastAsia="仿宋" w:cs="Times New Roman"/>
          <w:szCs w:val="21"/>
        </w:rPr>
        <w:t>取1，反之则取0。结果显示，排除了其他行业因素对政策的干扰后结论依旧稳健。</w:t>
      </w:r>
    </w:p>
    <w:p>
      <w:pPr>
        <w:snapToGrid w:val="0"/>
        <w:ind w:firstLine="336" w:firstLineChars="200"/>
        <w:jc w:val="center"/>
        <w:rPr>
          <w:rFonts w:hint="eastAsia" w:ascii="黑体" w:hAnsi="黑体" w:eastAsia="黑体" w:cs="黑体"/>
          <w:sz w:val="18"/>
          <w:szCs w:val="18"/>
        </w:rPr>
      </w:pPr>
      <w:r>
        <w:rPr>
          <w:rFonts w:hint="eastAsia" w:ascii="黑体" w:hAnsi="黑体" w:eastAsia="黑体" w:cs="黑体"/>
          <w:sz w:val="18"/>
          <w:szCs w:val="18"/>
        </w:rPr>
        <w:t>表I3 政策设定调整与控制行业因素</w:t>
      </w:r>
    </w:p>
    <w:tbl>
      <w:tblPr>
        <w:tblStyle w:val="24"/>
        <w:tblW w:w="5000" w:type="pct"/>
        <w:jc w:val="center"/>
        <w:tblLayout w:type="autofit"/>
        <w:tblCellMar>
          <w:top w:w="0" w:type="dxa"/>
          <w:left w:w="75" w:type="dxa"/>
          <w:bottom w:w="0" w:type="dxa"/>
          <w:right w:w="75" w:type="dxa"/>
        </w:tblCellMar>
      </w:tblPr>
      <w:tblGrid>
        <w:gridCol w:w="2791"/>
        <w:gridCol w:w="1481"/>
        <w:gridCol w:w="1481"/>
        <w:gridCol w:w="1481"/>
        <w:gridCol w:w="1228"/>
      </w:tblGrid>
      <w:tr>
        <w:tblPrEx>
          <w:tblCellMar>
            <w:top w:w="0" w:type="dxa"/>
            <w:left w:w="75" w:type="dxa"/>
            <w:bottom w:w="0" w:type="dxa"/>
            <w:right w:w="75" w:type="dxa"/>
          </w:tblCellMar>
        </w:tblPrEx>
        <w:trPr>
          <w:cantSplit/>
          <w:jc w:val="center"/>
        </w:trPr>
        <w:tc>
          <w:tcPr>
            <w:tcW w:w="1649" w:type="pct"/>
            <w:vMerge w:val="restart"/>
            <w:tcBorders>
              <w:top w:val="single" w:color="auto" w:sz="6" w:space="0"/>
              <w:left w:val="nil"/>
              <w:right w:val="nil"/>
            </w:tcBorders>
          </w:tcPr>
          <w:p>
            <w:pPr>
              <w:autoSpaceDE w:val="0"/>
              <w:autoSpaceDN w:val="0"/>
              <w:adjustRightInd w:val="0"/>
              <w:snapToGrid w:val="0"/>
              <w:jc w:val="left"/>
              <w:rPr>
                <w:rFonts w:ascii="Times New Roman" w:hAnsi="Times New Roman" w:cs="Times New Roman"/>
                <w:kern w:val="0"/>
                <w:szCs w:val="21"/>
              </w:rPr>
            </w:pPr>
          </w:p>
        </w:tc>
        <w:tc>
          <w:tcPr>
            <w:tcW w:w="875"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(1)</w:t>
            </w:r>
          </w:p>
        </w:tc>
        <w:tc>
          <w:tcPr>
            <w:tcW w:w="875"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(2)</w:t>
            </w:r>
          </w:p>
        </w:tc>
        <w:tc>
          <w:tcPr>
            <w:tcW w:w="875"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（3）</w:t>
            </w:r>
          </w:p>
        </w:tc>
        <w:tc>
          <w:tcPr>
            <w:tcW w:w="725"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（4）</w:t>
            </w:r>
          </w:p>
        </w:tc>
      </w:tr>
      <w:tr>
        <w:tblPrEx>
          <w:tblCellMar>
            <w:top w:w="0" w:type="dxa"/>
            <w:left w:w="75" w:type="dxa"/>
            <w:bottom w:w="0" w:type="dxa"/>
            <w:right w:w="75" w:type="dxa"/>
          </w:tblCellMar>
        </w:tblPrEx>
        <w:trPr>
          <w:cantSplit/>
          <w:jc w:val="center"/>
        </w:trPr>
        <w:tc>
          <w:tcPr>
            <w:tcW w:w="1649" w:type="pct"/>
            <w:vMerge w:val="continue"/>
            <w:tcBorders>
              <w:left w:val="nil"/>
              <w:bottom w:val="single" w:color="auto" w:sz="6" w:space="0"/>
              <w:right w:val="nil"/>
            </w:tcBorders>
          </w:tcPr>
          <w:p>
            <w:pPr>
              <w:autoSpaceDE w:val="0"/>
              <w:autoSpaceDN w:val="0"/>
              <w:adjustRightInd w:val="0"/>
              <w:snapToGrid w:val="0"/>
              <w:jc w:val="left"/>
              <w:rPr>
                <w:rFonts w:ascii="Times New Roman" w:hAnsi="Times New Roman" w:cs="Times New Roman"/>
                <w:kern w:val="0"/>
                <w:szCs w:val="21"/>
              </w:rPr>
            </w:pPr>
          </w:p>
        </w:tc>
        <w:tc>
          <w:tcPr>
            <w:tcW w:w="875"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ln</w:t>
            </w:r>
            <w:r>
              <w:rPr>
                <w:rFonts w:ascii="Times New Roman" w:hAnsi="Times New Roman" w:cs="Times New Roman"/>
                <w:i/>
                <w:iCs/>
                <w:kern w:val="0"/>
                <w:szCs w:val="21"/>
              </w:rPr>
              <w:t>SO</w:t>
            </w:r>
            <w:r>
              <w:rPr>
                <w:rFonts w:ascii="Times New Roman" w:hAnsi="Times New Roman" w:cs="Times New Roman"/>
                <w:i/>
                <w:iCs/>
                <w:kern w:val="0"/>
                <w:szCs w:val="21"/>
                <w:vertAlign w:val="subscript"/>
              </w:rPr>
              <w:t>2</w:t>
            </w:r>
          </w:p>
        </w:tc>
        <w:tc>
          <w:tcPr>
            <w:tcW w:w="875"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ln</w:t>
            </w:r>
            <w:r>
              <w:rPr>
                <w:rFonts w:ascii="Times New Roman" w:hAnsi="Times New Roman" w:cs="Times New Roman"/>
                <w:i/>
                <w:iCs/>
                <w:kern w:val="0"/>
                <w:szCs w:val="21"/>
              </w:rPr>
              <w:t>CO</w:t>
            </w:r>
            <w:r>
              <w:rPr>
                <w:rFonts w:ascii="Times New Roman" w:hAnsi="Times New Roman" w:cs="Times New Roman"/>
                <w:i/>
                <w:iCs/>
                <w:kern w:val="0"/>
                <w:szCs w:val="21"/>
                <w:vertAlign w:val="subscript"/>
              </w:rPr>
              <w:t>2</w:t>
            </w:r>
          </w:p>
        </w:tc>
        <w:tc>
          <w:tcPr>
            <w:tcW w:w="875"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ln</w:t>
            </w:r>
            <w:r>
              <w:rPr>
                <w:rFonts w:ascii="Times New Roman" w:hAnsi="Times New Roman" w:cs="Times New Roman"/>
                <w:i/>
                <w:iCs/>
                <w:kern w:val="0"/>
                <w:szCs w:val="21"/>
              </w:rPr>
              <w:t>SO</w:t>
            </w:r>
            <w:r>
              <w:rPr>
                <w:rFonts w:ascii="Times New Roman" w:hAnsi="Times New Roman" w:cs="Times New Roman"/>
                <w:i/>
                <w:iCs/>
                <w:kern w:val="0"/>
                <w:szCs w:val="21"/>
                <w:vertAlign w:val="subscript"/>
              </w:rPr>
              <w:t>2</w:t>
            </w:r>
          </w:p>
        </w:tc>
        <w:tc>
          <w:tcPr>
            <w:tcW w:w="725"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ln</w:t>
            </w:r>
            <w:r>
              <w:rPr>
                <w:rFonts w:ascii="Times New Roman" w:hAnsi="Times New Roman" w:cs="Times New Roman"/>
                <w:i/>
                <w:iCs/>
                <w:kern w:val="0"/>
                <w:szCs w:val="21"/>
              </w:rPr>
              <w:t>CO</w:t>
            </w:r>
            <w:r>
              <w:rPr>
                <w:rFonts w:ascii="Times New Roman" w:hAnsi="Times New Roman" w:cs="Times New Roman"/>
                <w:i/>
                <w:iCs/>
                <w:kern w:val="0"/>
                <w:szCs w:val="21"/>
                <w:vertAlign w:val="subscript"/>
              </w:rPr>
              <w:t>2</w:t>
            </w:r>
          </w:p>
        </w:tc>
      </w:tr>
      <w:tr>
        <w:tblPrEx>
          <w:tblCellMar>
            <w:top w:w="0" w:type="dxa"/>
            <w:left w:w="75" w:type="dxa"/>
            <w:bottom w:w="0" w:type="dxa"/>
            <w:right w:w="75" w:type="dxa"/>
          </w:tblCellMar>
        </w:tblPrEx>
        <w:trPr>
          <w:cantSplit/>
          <w:jc w:val="center"/>
        </w:trPr>
        <w:tc>
          <w:tcPr>
            <w:tcW w:w="1649" w:type="pct"/>
            <w:tcBorders>
              <w:top w:val="nil"/>
              <w:left w:val="nil"/>
              <w:bottom w:val="nil"/>
              <w:right w:val="nil"/>
            </w:tcBorders>
          </w:tcPr>
          <w:p>
            <w:pPr>
              <w:autoSpaceDE w:val="0"/>
              <w:autoSpaceDN w:val="0"/>
              <w:adjustRightInd w:val="0"/>
              <w:snapToGrid w:val="0"/>
              <w:jc w:val="left"/>
              <w:rPr>
                <w:rFonts w:ascii="Times New Roman" w:hAnsi="Times New Roman" w:cs="Times New Roman"/>
                <w:i/>
                <w:iCs/>
                <w:kern w:val="0"/>
                <w:szCs w:val="21"/>
              </w:rPr>
            </w:pPr>
            <w:r>
              <w:rPr>
                <w:rFonts w:ascii="Times New Roman" w:hAnsi="Times New Roman" w:cs="Times New Roman"/>
                <w:i/>
                <w:iCs/>
                <w:kern w:val="0"/>
                <w:szCs w:val="21"/>
              </w:rPr>
              <w:t>cps</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rPr>
              <w:t>-0.149***</w:t>
            </w:r>
          </w:p>
        </w:tc>
        <w:tc>
          <w:tcPr>
            <w:tcW w:w="72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rPr>
              <w:t>-0.036*</w:t>
            </w:r>
          </w:p>
        </w:tc>
      </w:tr>
      <w:tr>
        <w:tblPrEx>
          <w:tblCellMar>
            <w:top w:w="0" w:type="dxa"/>
            <w:left w:w="75" w:type="dxa"/>
            <w:bottom w:w="0" w:type="dxa"/>
            <w:right w:w="75" w:type="dxa"/>
          </w:tblCellMar>
        </w:tblPrEx>
        <w:trPr>
          <w:cantSplit/>
          <w:jc w:val="center"/>
        </w:trPr>
        <w:tc>
          <w:tcPr>
            <w:tcW w:w="1649" w:type="pct"/>
            <w:tcBorders>
              <w:top w:val="nil"/>
              <w:left w:val="nil"/>
              <w:bottom w:val="nil"/>
              <w:right w:val="nil"/>
            </w:tcBorders>
          </w:tcPr>
          <w:p>
            <w:pPr>
              <w:autoSpaceDE w:val="0"/>
              <w:autoSpaceDN w:val="0"/>
              <w:adjustRightInd w:val="0"/>
              <w:snapToGrid w:val="0"/>
              <w:jc w:val="left"/>
              <w:rPr>
                <w:rFonts w:ascii="Times New Roman" w:hAnsi="Times New Roman" w:cs="Times New Roman"/>
                <w:i/>
                <w:iCs/>
                <w:kern w:val="0"/>
                <w:szCs w:val="21"/>
              </w:rPr>
            </w:pP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rPr>
              <w:t>(0.033)</w:t>
            </w:r>
          </w:p>
        </w:tc>
        <w:tc>
          <w:tcPr>
            <w:tcW w:w="72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rPr>
              <w:t>(0.020)</w:t>
            </w:r>
          </w:p>
        </w:tc>
      </w:tr>
      <w:tr>
        <w:tblPrEx>
          <w:tblCellMar>
            <w:top w:w="0" w:type="dxa"/>
            <w:left w:w="75" w:type="dxa"/>
            <w:bottom w:w="0" w:type="dxa"/>
            <w:right w:w="75" w:type="dxa"/>
          </w:tblCellMar>
        </w:tblPrEx>
        <w:trPr>
          <w:cantSplit/>
          <w:jc w:val="center"/>
        </w:trPr>
        <w:tc>
          <w:tcPr>
            <w:tcW w:w="1649" w:type="pct"/>
            <w:tcBorders>
              <w:top w:val="nil"/>
              <w:left w:val="nil"/>
              <w:bottom w:val="nil"/>
              <w:right w:val="nil"/>
            </w:tcBorders>
          </w:tcPr>
          <w:p>
            <w:pPr>
              <w:autoSpaceDE w:val="0"/>
              <w:autoSpaceDN w:val="0"/>
              <w:adjustRightInd w:val="0"/>
              <w:snapToGrid w:val="0"/>
              <w:jc w:val="left"/>
              <w:rPr>
                <w:rFonts w:ascii="Times New Roman" w:hAnsi="Times New Roman" w:cs="Times New Roman"/>
                <w:i/>
                <w:iCs/>
                <w:kern w:val="0"/>
                <w:szCs w:val="21"/>
              </w:rPr>
            </w:pPr>
            <w:r>
              <w:rPr>
                <w:rFonts w:ascii="Times New Roman" w:hAnsi="Times New Roman" w:cs="Times New Roman"/>
                <w:i/>
                <w:iCs/>
                <w:kern w:val="0"/>
                <w:szCs w:val="21"/>
              </w:rPr>
              <w:t>cps_new</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-0.205***</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-0.072***</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p>
        </w:tc>
        <w:tc>
          <w:tcPr>
            <w:tcW w:w="72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p>
        </w:tc>
      </w:tr>
      <w:tr>
        <w:tblPrEx>
          <w:tblCellMar>
            <w:top w:w="0" w:type="dxa"/>
            <w:left w:w="75" w:type="dxa"/>
            <w:bottom w:w="0" w:type="dxa"/>
            <w:right w:w="75" w:type="dxa"/>
          </w:tblCellMar>
        </w:tblPrEx>
        <w:trPr>
          <w:cantSplit/>
          <w:jc w:val="center"/>
        </w:trPr>
        <w:tc>
          <w:tcPr>
            <w:tcW w:w="1649"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Cs w:val="21"/>
              </w:rPr>
            </w:pP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(0.035)</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(0.023)</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p>
        </w:tc>
        <w:tc>
          <w:tcPr>
            <w:tcW w:w="72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p>
        </w:tc>
      </w:tr>
      <w:tr>
        <w:tblPrEx>
          <w:tblCellMar>
            <w:top w:w="0" w:type="dxa"/>
            <w:left w:w="75" w:type="dxa"/>
            <w:bottom w:w="0" w:type="dxa"/>
            <w:right w:w="75" w:type="dxa"/>
          </w:tblCellMar>
        </w:tblPrEx>
        <w:trPr>
          <w:cantSplit/>
          <w:jc w:val="center"/>
        </w:trPr>
        <w:tc>
          <w:tcPr>
            <w:tcW w:w="1649"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Cs w:val="21"/>
              </w:rPr>
            </w:pPr>
            <w:r>
              <w:rPr>
                <w:rFonts w:ascii="Times New Roman" w:hAnsi="Times New Roman" w:eastAsia="仿宋" w:cs="Times New Roman"/>
                <w:kern w:val="0"/>
                <w:szCs w:val="21"/>
              </w:rPr>
              <w:t>控制变量</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eastAsia="仿宋" w:cs="Times New Roman"/>
                <w:kern w:val="0"/>
                <w:szCs w:val="21"/>
              </w:rPr>
              <w:t>有</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eastAsia="仿宋" w:cs="Times New Roman"/>
                <w:kern w:val="0"/>
                <w:szCs w:val="21"/>
              </w:rPr>
              <w:t>有</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72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r>
      <w:tr>
        <w:tblPrEx>
          <w:tblCellMar>
            <w:top w:w="0" w:type="dxa"/>
            <w:left w:w="75" w:type="dxa"/>
            <w:bottom w:w="0" w:type="dxa"/>
            <w:right w:w="75" w:type="dxa"/>
          </w:tblCellMar>
        </w:tblPrEx>
        <w:trPr>
          <w:cantSplit/>
          <w:jc w:val="center"/>
        </w:trPr>
        <w:tc>
          <w:tcPr>
            <w:tcW w:w="1649"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Cs w:val="21"/>
              </w:rPr>
            </w:pPr>
            <w:r>
              <w:rPr>
                <w:rFonts w:ascii="Times New Roman" w:hAnsi="Times New Roman" w:eastAsia="仿宋" w:cs="Times New Roman"/>
                <w:kern w:val="0"/>
                <w:szCs w:val="21"/>
              </w:rPr>
              <w:t>企业固定效应</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eastAsia="仿宋" w:cs="Times New Roman"/>
                <w:kern w:val="0"/>
                <w:szCs w:val="21"/>
              </w:rPr>
              <w:t>有</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eastAsia="仿宋" w:cs="Times New Roman"/>
                <w:kern w:val="0"/>
                <w:szCs w:val="21"/>
              </w:rPr>
              <w:t>有</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72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r>
      <w:tr>
        <w:tblPrEx>
          <w:tblCellMar>
            <w:top w:w="0" w:type="dxa"/>
            <w:left w:w="75" w:type="dxa"/>
            <w:bottom w:w="0" w:type="dxa"/>
            <w:right w:w="75" w:type="dxa"/>
          </w:tblCellMar>
        </w:tblPrEx>
        <w:trPr>
          <w:cantSplit/>
          <w:jc w:val="center"/>
        </w:trPr>
        <w:tc>
          <w:tcPr>
            <w:tcW w:w="1649"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Cs w:val="21"/>
              </w:rPr>
            </w:pPr>
            <w:r>
              <w:rPr>
                <w:rFonts w:ascii="Times New Roman" w:hAnsi="Times New Roman" w:eastAsia="仿宋" w:cs="Times New Roman"/>
                <w:kern w:val="0"/>
                <w:szCs w:val="21"/>
              </w:rPr>
              <w:t>行业固定效应</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72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r>
      <w:tr>
        <w:tblPrEx>
          <w:tblCellMar>
            <w:top w:w="0" w:type="dxa"/>
            <w:left w:w="75" w:type="dxa"/>
            <w:bottom w:w="0" w:type="dxa"/>
            <w:right w:w="75" w:type="dxa"/>
          </w:tblCellMar>
        </w:tblPrEx>
        <w:trPr>
          <w:cantSplit/>
          <w:jc w:val="center"/>
        </w:trPr>
        <w:tc>
          <w:tcPr>
            <w:tcW w:w="1649"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Cs w:val="21"/>
              </w:rPr>
            </w:pPr>
            <w:r>
              <w:rPr>
                <w:rFonts w:ascii="Times New Roman" w:hAnsi="Times New Roman" w:eastAsia="仿宋" w:cs="Times New Roman"/>
                <w:kern w:val="0"/>
                <w:szCs w:val="21"/>
              </w:rPr>
              <w:t>城市-年份固定效应</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eastAsia="仿宋" w:cs="Times New Roman"/>
                <w:kern w:val="0"/>
                <w:szCs w:val="21"/>
              </w:rPr>
              <w:t>有</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eastAsia="仿宋" w:cs="Times New Roman"/>
                <w:kern w:val="0"/>
                <w:szCs w:val="21"/>
              </w:rPr>
              <w:t>有</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c>
          <w:tcPr>
            <w:tcW w:w="72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Cs w:val="21"/>
              </w:rPr>
            </w:pPr>
            <w:r>
              <w:rPr>
                <w:rFonts w:ascii="Times New Roman" w:hAnsi="Times New Roman" w:eastAsia="仿宋" w:cs="Times New Roman"/>
                <w:kern w:val="0"/>
                <w:szCs w:val="21"/>
              </w:rPr>
              <w:t>有</w:t>
            </w:r>
          </w:p>
        </w:tc>
      </w:tr>
      <w:tr>
        <w:tblPrEx>
          <w:tblCellMar>
            <w:top w:w="0" w:type="dxa"/>
            <w:left w:w="75" w:type="dxa"/>
            <w:bottom w:w="0" w:type="dxa"/>
            <w:right w:w="75" w:type="dxa"/>
          </w:tblCellMar>
        </w:tblPrEx>
        <w:trPr>
          <w:cantSplit/>
          <w:jc w:val="center"/>
        </w:trPr>
        <w:tc>
          <w:tcPr>
            <w:tcW w:w="1649"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Cs w:val="21"/>
              </w:rPr>
            </w:pPr>
            <w:r>
              <w:rPr>
                <w:rFonts w:ascii="Times New Roman" w:hAnsi="Times New Roman" w:cs="Times New Roman"/>
                <w:kern w:val="0"/>
                <w:szCs w:val="21"/>
              </w:rPr>
              <w:t>Observations</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317,796</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379,607</w:t>
            </w:r>
          </w:p>
        </w:tc>
        <w:tc>
          <w:tcPr>
            <w:tcW w:w="87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283,973</w:t>
            </w:r>
          </w:p>
        </w:tc>
        <w:tc>
          <w:tcPr>
            <w:tcW w:w="725"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339,778</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cantSplit/>
          <w:jc w:val="center"/>
        </w:trPr>
        <w:tc>
          <w:tcPr>
            <w:tcW w:w="1649" w:type="pct"/>
            <w:tcBorders>
              <w:top w:val="nil"/>
              <w:left w:val="nil"/>
              <w:bottom w:val="single" w:color="auto" w:sz="6" w:space="0"/>
              <w:right w:val="nil"/>
            </w:tcBorders>
          </w:tcPr>
          <w:p>
            <w:pPr>
              <w:autoSpaceDE w:val="0"/>
              <w:autoSpaceDN w:val="0"/>
              <w:adjustRightInd w:val="0"/>
              <w:snapToGrid w:val="0"/>
              <w:jc w:val="left"/>
              <w:rPr>
                <w:rFonts w:ascii="Times New Roman" w:hAnsi="Times New Roman" w:cs="Times New Roman"/>
                <w:kern w:val="0"/>
                <w:szCs w:val="21"/>
              </w:rPr>
            </w:pPr>
            <w:r>
              <w:rPr>
                <w:rFonts w:ascii="Times New Roman" w:hAnsi="Times New Roman" w:cs="Times New Roman"/>
                <w:kern w:val="0"/>
                <w:szCs w:val="21"/>
              </w:rPr>
              <w:t>R-squared</w:t>
            </w:r>
          </w:p>
        </w:tc>
        <w:tc>
          <w:tcPr>
            <w:tcW w:w="875"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0.856</w:t>
            </w:r>
          </w:p>
        </w:tc>
        <w:tc>
          <w:tcPr>
            <w:tcW w:w="875"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0.879</w:t>
            </w:r>
          </w:p>
        </w:tc>
        <w:tc>
          <w:tcPr>
            <w:tcW w:w="875"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0.858</w:t>
            </w:r>
          </w:p>
        </w:tc>
        <w:tc>
          <w:tcPr>
            <w:tcW w:w="725"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cs="Times New Roman"/>
                <w:kern w:val="0"/>
                <w:szCs w:val="21"/>
              </w:rPr>
            </w:pPr>
            <w:r>
              <w:rPr>
                <w:rFonts w:ascii="Times New Roman" w:hAnsi="Times New Roman" w:cs="Times New Roman"/>
                <w:kern w:val="0"/>
                <w:szCs w:val="21"/>
              </w:rPr>
              <w:t>0.879</w:t>
            </w:r>
          </w:p>
        </w:tc>
      </w:tr>
    </w:tbl>
    <w:p>
      <w:pPr>
        <w:adjustRightInd w:val="0"/>
        <w:snapToGrid w:val="0"/>
        <w:ind w:firstLine="276" w:firstLineChars="200"/>
        <w:rPr>
          <w:rFonts w:ascii="Times New Roman" w:hAnsi="Times New Roman" w:eastAsia="仿宋" w:cs="Times New Roman"/>
          <w:sz w:val="15"/>
          <w:szCs w:val="15"/>
        </w:rPr>
      </w:pPr>
      <w:r>
        <w:rPr>
          <w:rFonts w:ascii="Times New Roman" w:hAnsi="Times New Roman" w:eastAsia="仿宋" w:cs="Times New Roman"/>
          <w:sz w:val="15"/>
          <w:szCs w:val="15"/>
        </w:rPr>
        <w:t>注：列（1）和列（2）控制了</w:t>
      </w:r>
      <w:r>
        <w:rPr>
          <w:rFonts w:ascii="Times New Roman" w:hAnsi="Times New Roman" w:eastAsia="仿宋" w:cs="Times New Roman"/>
          <w:i/>
          <w:iCs/>
          <w:sz w:val="15"/>
          <w:szCs w:val="15"/>
        </w:rPr>
        <w:t>cps</w:t>
      </w:r>
      <w:r>
        <w:rPr>
          <w:rFonts w:ascii="Times New Roman" w:hAnsi="Times New Roman" w:eastAsia="仿宋" w:cs="Times New Roman"/>
          <w:sz w:val="15"/>
          <w:szCs w:val="15"/>
        </w:rPr>
        <w:t>01。</w:t>
      </w:r>
    </w:p>
    <w:p>
      <w:pPr>
        <w:adjustRightInd w:val="0"/>
        <w:snapToGrid w:val="0"/>
        <w:ind w:firstLine="276" w:firstLineChars="200"/>
        <w:rPr>
          <w:rFonts w:ascii="Times New Roman" w:hAnsi="Times New Roman" w:eastAsia="仿宋" w:cs="Times New Roman"/>
          <w:sz w:val="15"/>
          <w:szCs w:val="15"/>
        </w:rPr>
      </w:pPr>
    </w:p>
    <w:p>
      <w:pPr>
        <w:pStyle w:val="3"/>
        <w:keepNext w:val="0"/>
        <w:keepLines w:val="0"/>
        <w:widowControl/>
        <w:spacing w:before="0" w:after="0"/>
        <w:ind w:firstLine="396" w:firstLineChars="200"/>
        <w:jc w:val="left"/>
        <w:rPr>
          <w:rFonts w:ascii="Times New Roman" w:hAnsi="Times New Roman" w:eastAsia="仿宋" w:cs="Times New Roman"/>
          <w:b/>
          <w:bCs/>
          <w:color w:val="auto"/>
          <w:kern w:val="0"/>
          <w:sz w:val="21"/>
          <w:szCs w:val="21"/>
        </w:rPr>
      </w:pPr>
      <w:bookmarkStart w:id="8" w:name="_Toc160282114"/>
      <w:r>
        <w:rPr>
          <w:rFonts w:ascii="Times New Roman" w:hAnsi="Times New Roman" w:eastAsia="仿宋" w:cs="Times New Roman"/>
          <w:b/>
          <w:bCs/>
          <w:color w:val="auto"/>
          <w:kern w:val="0"/>
          <w:sz w:val="21"/>
          <w:szCs w:val="21"/>
        </w:rPr>
        <w:t>6.考虑企业电耗间接碳排放的估计</w:t>
      </w:r>
      <w:bookmarkEnd w:id="8"/>
    </w:p>
    <w:p>
      <w:pPr>
        <w:ind w:firstLine="396" w:firstLineChars="200"/>
        <w:rPr>
          <w:rFonts w:ascii="Times New Roman" w:hAnsi="Times New Roman" w:eastAsia="仿宋" w:cs="Times New Roman"/>
          <w:szCs w:val="21"/>
        </w:rPr>
      </w:pPr>
      <w:r>
        <w:rPr>
          <w:rFonts w:ascii="Times New Roman" w:hAnsi="Times New Roman" w:eastAsia="仿宋" w:cs="Times New Roman"/>
          <w:szCs w:val="21"/>
        </w:rPr>
        <w:t>鉴于中国工业企业数据库、工业企业污染数据库的能耗数据均不含电力消耗指标，笔者进一步获得了2008</w:t>
      </w:r>
      <w:r>
        <w:rPr>
          <w:rFonts w:hint="eastAsia" w:ascii="Times New Roman" w:hAnsi="Times New Roman" w:eastAsia="仿宋" w:cs="Times New Roman"/>
          <w:szCs w:val="21"/>
          <w:lang w:eastAsia="zh-CN"/>
        </w:rPr>
        <w:t>—</w:t>
      </w:r>
      <w:r>
        <w:rPr>
          <w:rFonts w:ascii="Times New Roman" w:hAnsi="Times New Roman" w:eastAsia="仿宋" w:cs="Times New Roman"/>
          <w:szCs w:val="21"/>
        </w:rPr>
        <w:t>2011</w:t>
      </w:r>
      <w:r>
        <w:rPr>
          <w:rFonts w:hint="eastAsia" w:ascii="Times New Roman" w:hAnsi="Times New Roman" w:eastAsia="仿宋" w:cs="Times New Roman"/>
          <w:szCs w:val="21"/>
          <w:lang w:eastAsia="zh-CN"/>
        </w:rPr>
        <w:t>年</w:t>
      </w:r>
      <w:r>
        <w:rPr>
          <w:rFonts w:ascii="Times New Roman" w:hAnsi="Times New Roman" w:eastAsia="仿宋" w:cs="Times New Roman"/>
          <w:szCs w:val="21"/>
        </w:rPr>
        <w:t>全国税收调查数据库</w:t>
      </w:r>
      <w:r>
        <w:rPr>
          <w:rStyle w:val="33"/>
          <w:rFonts w:ascii="Times New Roman" w:hAnsi="Times New Roman" w:eastAsia="仿宋" w:cs="Times New Roman"/>
          <w:b/>
          <w:bCs/>
          <w:szCs w:val="21"/>
        </w:rPr>
        <w:footnoteReference w:id="2"/>
      </w:r>
      <w:r>
        <w:rPr>
          <w:rFonts w:ascii="Times New Roman" w:hAnsi="Times New Roman" w:eastAsia="仿宋" w:cs="Times New Roman"/>
          <w:szCs w:val="21"/>
        </w:rPr>
        <w:t>，这一数据库不仅报告了企业当年电力、煤炭以及石油的分类消耗量，而且被调查的企业既包含大中型制造业企业，也包含小规模服务业企业和部分个体经营者，拓展了工业企业数据库规上企业范围（范子英和王倩，2019）。</w:t>
      </w:r>
      <w:bookmarkStart w:id="9" w:name="_Hlk111996021"/>
      <w:r>
        <w:rPr>
          <w:rFonts w:ascii="Times New Roman" w:hAnsi="Times New Roman" w:eastAsia="仿宋" w:cs="Times New Roman"/>
          <w:szCs w:val="21"/>
        </w:rPr>
        <w:t>关于各类能源的碳排放因子，笔者根据中国能源统计年鉴公布的标准煤折算系数和国家发展改革委发布的《二氧化碳减排量估算方法及参数选择》换算系数进行计算。最终，计算了企业直接碳排放量取对数ln</w:t>
      </w:r>
      <w:r>
        <w:rPr>
          <w:rFonts w:ascii="Times New Roman" w:hAnsi="Times New Roman" w:eastAsia="仿宋" w:cs="Times New Roman"/>
          <w:i/>
          <w:iCs/>
          <w:szCs w:val="21"/>
        </w:rPr>
        <w:t>CO</w:t>
      </w:r>
      <w:r>
        <w:rPr>
          <w:rFonts w:ascii="Times New Roman" w:hAnsi="Times New Roman" w:eastAsia="仿宋" w:cs="Times New Roman"/>
          <w:i/>
          <w:iCs/>
          <w:szCs w:val="21"/>
          <w:vertAlign w:val="subscript"/>
        </w:rPr>
        <w:t>2</w:t>
      </w:r>
      <w:r>
        <w:rPr>
          <w:rStyle w:val="33"/>
          <w:rFonts w:ascii="Times New Roman" w:hAnsi="Times New Roman" w:eastAsia="仿宋" w:cs="Times New Roman"/>
          <w:szCs w:val="21"/>
        </w:rPr>
        <w:footnoteReference w:id="3"/>
      </w:r>
      <w:r>
        <w:rPr>
          <w:rFonts w:ascii="Times New Roman" w:hAnsi="Times New Roman" w:eastAsia="仿宋" w:cs="Times New Roman"/>
          <w:szCs w:val="21"/>
        </w:rPr>
        <w:t>和企业电耗间接碳排放量取对数ln</w:t>
      </w:r>
      <w:r>
        <w:rPr>
          <w:rFonts w:ascii="Times New Roman" w:hAnsi="Times New Roman" w:eastAsia="仿宋" w:cs="Times New Roman"/>
          <w:i/>
          <w:iCs/>
          <w:szCs w:val="21"/>
        </w:rPr>
        <w:t>CO</w:t>
      </w:r>
      <w:r>
        <w:rPr>
          <w:rFonts w:ascii="Times New Roman" w:hAnsi="Times New Roman" w:eastAsia="仿宋" w:cs="Times New Roman"/>
          <w:i/>
          <w:iCs/>
          <w:szCs w:val="21"/>
          <w:vertAlign w:val="subscript"/>
        </w:rPr>
        <w:t>2</w:t>
      </w:r>
      <w:r>
        <w:rPr>
          <w:rFonts w:ascii="Times New Roman" w:hAnsi="Times New Roman" w:eastAsia="仿宋" w:cs="Times New Roman"/>
          <w:i/>
          <w:iCs/>
          <w:szCs w:val="21"/>
        </w:rPr>
        <w:t>_jj</w:t>
      </w:r>
      <w:bookmarkEnd w:id="9"/>
      <w:r>
        <w:rPr>
          <w:rFonts w:ascii="Times New Roman" w:hAnsi="Times New Roman" w:eastAsia="仿宋" w:cs="Times New Roman"/>
          <w:szCs w:val="21"/>
        </w:rPr>
        <w:t>。并按本文的多时点DID方法重新设定清洁生产标准实施变量</w:t>
      </w:r>
      <w:r>
        <w:rPr>
          <w:rFonts w:ascii="Times New Roman" w:hAnsi="Times New Roman" w:eastAsia="仿宋" w:cs="Times New Roman"/>
          <w:i/>
          <w:iCs/>
          <w:szCs w:val="21"/>
        </w:rPr>
        <w:t>cps</w:t>
      </w:r>
      <w:r>
        <w:rPr>
          <w:rFonts w:ascii="Times New Roman" w:hAnsi="Times New Roman" w:eastAsia="仿宋" w:cs="Times New Roman"/>
          <w:szCs w:val="21"/>
        </w:rPr>
        <w:t>进行实证检验。</w:t>
      </w:r>
    </w:p>
    <w:p>
      <w:pPr>
        <w:ind w:firstLine="396" w:firstLineChars="200"/>
        <w:rPr>
          <w:rFonts w:ascii="Times New Roman" w:hAnsi="Times New Roman" w:eastAsia="仿宋" w:cs="Times New Roman"/>
          <w:kern w:val="0"/>
          <w:szCs w:val="21"/>
        </w:rPr>
      </w:pPr>
      <w:bookmarkStart w:id="10" w:name="_Hlk112085806"/>
      <w:r>
        <w:rPr>
          <w:rFonts w:ascii="Times New Roman" w:hAnsi="Times New Roman" w:eastAsia="仿宋" w:cs="Times New Roman"/>
          <w:szCs w:val="21"/>
        </w:rPr>
        <w:t>表</w:t>
      </w:r>
      <w:r>
        <w:rPr>
          <w:rFonts w:hint="eastAsia" w:ascii="Times New Roman" w:hAnsi="Times New Roman" w:eastAsia="仿宋" w:cs="Times New Roman"/>
          <w:szCs w:val="21"/>
        </w:rPr>
        <w:t>I</w:t>
      </w:r>
      <w:r>
        <w:rPr>
          <w:rFonts w:ascii="Times New Roman" w:hAnsi="Times New Roman" w:eastAsia="仿宋" w:cs="Times New Roman"/>
          <w:szCs w:val="21"/>
        </w:rPr>
        <w:t>4报告了考虑企业电耗间接碳排放的稳健性检验结果。一方面，基于全国</w:t>
      </w:r>
      <w:r>
        <w:rPr>
          <w:rFonts w:hint="eastAsia" w:ascii="Times New Roman" w:hAnsi="Times New Roman" w:eastAsia="仿宋" w:cs="Times New Roman"/>
          <w:szCs w:val="21"/>
        </w:rPr>
        <w:t>税收调查数据库</w:t>
      </w:r>
      <w:r>
        <w:rPr>
          <w:rFonts w:ascii="Times New Roman" w:hAnsi="Times New Roman" w:eastAsia="仿宋" w:cs="Times New Roman"/>
          <w:szCs w:val="21"/>
        </w:rPr>
        <w:t>，列（1）和列（2）分别报告了清洁生产标准实施的直接与间接碳减排效应，发现显著降低了企业直接碳排放</w:t>
      </w:r>
      <w:r>
        <w:rPr>
          <w:rFonts w:ascii="Times New Roman" w:hAnsi="Times New Roman" w:eastAsia="仿宋" w:cs="Times New Roman"/>
          <w:kern w:val="0"/>
          <w:szCs w:val="21"/>
        </w:rPr>
        <w:t>，但对间接碳排放的影响不显著。另一方面，列（3）至列（6）报告了基于全国税调库、工企库和工企污染库的匹配数据库的稳健性估计结果，列（3）和列（4）显示，清洁生产标准实施对SO</w:t>
      </w:r>
      <w:r>
        <w:rPr>
          <w:rFonts w:ascii="Times New Roman" w:hAnsi="Times New Roman" w:eastAsia="仿宋" w:cs="Times New Roman"/>
          <w:kern w:val="0"/>
          <w:szCs w:val="21"/>
          <w:vertAlign w:val="subscript"/>
        </w:rPr>
        <w:t>2</w:t>
      </w:r>
      <w:r>
        <w:rPr>
          <w:rFonts w:ascii="Times New Roman" w:hAnsi="Times New Roman" w:eastAsia="仿宋" w:cs="Times New Roman"/>
          <w:kern w:val="0"/>
          <w:szCs w:val="21"/>
        </w:rPr>
        <w:t>排放和直接碳排放ln</w:t>
      </w:r>
      <w:r>
        <w:rPr>
          <w:rFonts w:ascii="Times New Roman" w:hAnsi="Times New Roman" w:eastAsia="仿宋" w:cs="Times New Roman"/>
          <w:i/>
          <w:iCs/>
          <w:kern w:val="0"/>
          <w:szCs w:val="21"/>
        </w:rPr>
        <w:t>CO</w:t>
      </w:r>
      <w:r>
        <w:rPr>
          <w:rFonts w:ascii="Times New Roman" w:hAnsi="Times New Roman" w:eastAsia="仿宋" w:cs="Times New Roman"/>
          <w:i/>
          <w:iCs/>
          <w:kern w:val="0"/>
          <w:szCs w:val="21"/>
          <w:vertAlign w:val="subscript"/>
        </w:rPr>
        <w:t>2</w:t>
      </w:r>
      <w:r>
        <w:rPr>
          <w:rFonts w:ascii="Times New Roman" w:hAnsi="Times New Roman" w:eastAsia="仿宋" w:cs="Times New Roman"/>
          <w:kern w:val="0"/>
          <w:szCs w:val="21"/>
        </w:rPr>
        <w:t>的影响系数均显著为负，表现出显著的减污降碳（直接碳排放）协同效应。与基准结果相比，此处的减污效应更显著，体现了清洁生产标准实施的长期效应。列（5）中清洁生产标准实施对间接碳排放ln</w:t>
      </w:r>
      <w:r>
        <w:rPr>
          <w:rFonts w:ascii="Times New Roman" w:hAnsi="Times New Roman" w:eastAsia="仿宋" w:cs="Times New Roman"/>
          <w:i/>
          <w:iCs/>
          <w:kern w:val="0"/>
          <w:szCs w:val="21"/>
        </w:rPr>
        <w:t>CO</w:t>
      </w:r>
      <w:r>
        <w:rPr>
          <w:rFonts w:ascii="Times New Roman" w:hAnsi="Times New Roman" w:eastAsia="仿宋" w:cs="Times New Roman"/>
          <w:i/>
          <w:iCs/>
          <w:kern w:val="0"/>
          <w:szCs w:val="21"/>
          <w:vertAlign w:val="subscript"/>
        </w:rPr>
        <w:t>2</w:t>
      </w:r>
      <w:r>
        <w:rPr>
          <w:rFonts w:ascii="Times New Roman" w:hAnsi="Times New Roman" w:eastAsia="仿宋" w:cs="Times New Roman"/>
          <w:i/>
          <w:iCs/>
          <w:kern w:val="0"/>
          <w:szCs w:val="21"/>
        </w:rPr>
        <w:t>_jj</w:t>
      </w:r>
      <w:r>
        <w:rPr>
          <w:rFonts w:ascii="Times New Roman" w:hAnsi="Times New Roman" w:eastAsia="仿宋" w:cs="Times New Roman"/>
          <w:kern w:val="0"/>
          <w:szCs w:val="21"/>
        </w:rPr>
        <w:t>的影响不显著，综合列（3）和列（5）可知，清洁生产政策未表现显著的减污降碳（间接碳排放）协同效应。原因在于，SO</w:t>
      </w:r>
      <w:r>
        <w:rPr>
          <w:rFonts w:ascii="Times New Roman" w:hAnsi="Times New Roman" w:eastAsia="仿宋" w:cs="Times New Roman"/>
          <w:kern w:val="0"/>
          <w:szCs w:val="21"/>
          <w:vertAlign w:val="subscript"/>
        </w:rPr>
        <w:t>2</w:t>
      </w:r>
      <w:r>
        <w:rPr>
          <w:rFonts w:ascii="Times New Roman" w:hAnsi="Times New Roman" w:eastAsia="仿宋" w:cs="Times New Roman"/>
          <w:kern w:val="0"/>
          <w:szCs w:val="21"/>
        </w:rPr>
        <w:t>与CO</w:t>
      </w:r>
      <w:r>
        <w:rPr>
          <w:rFonts w:ascii="Times New Roman" w:hAnsi="Times New Roman" w:eastAsia="仿宋" w:cs="Times New Roman"/>
          <w:kern w:val="0"/>
          <w:szCs w:val="21"/>
          <w:vertAlign w:val="subscript"/>
        </w:rPr>
        <w:t>2</w:t>
      </w:r>
      <w:r>
        <w:rPr>
          <w:rFonts w:ascii="Times New Roman" w:hAnsi="Times New Roman" w:eastAsia="仿宋" w:cs="Times New Roman"/>
          <w:kern w:val="0"/>
          <w:szCs w:val="21"/>
        </w:rPr>
        <w:t>排放同根同源于化石能源燃烧，而且SO</w:t>
      </w:r>
      <w:r>
        <w:rPr>
          <w:rFonts w:ascii="Times New Roman" w:hAnsi="Times New Roman" w:eastAsia="仿宋" w:cs="Times New Roman"/>
          <w:kern w:val="0"/>
          <w:szCs w:val="21"/>
          <w:vertAlign w:val="subscript"/>
        </w:rPr>
        <w:t>2</w:t>
      </w:r>
      <w:r>
        <w:rPr>
          <w:rFonts w:ascii="Times New Roman" w:hAnsi="Times New Roman" w:eastAsia="仿宋" w:cs="Times New Roman"/>
          <w:kern w:val="0"/>
          <w:szCs w:val="21"/>
        </w:rPr>
        <w:t>排放与电耗也无直接关联，导致SO</w:t>
      </w:r>
      <w:r>
        <w:rPr>
          <w:rFonts w:ascii="Times New Roman" w:hAnsi="Times New Roman" w:eastAsia="仿宋" w:cs="Times New Roman"/>
          <w:kern w:val="0"/>
          <w:szCs w:val="21"/>
          <w:vertAlign w:val="subscript"/>
        </w:rPr>
        <w:t>2</w:t>
      </w:r>
      <w:r>
        <w:rPr>
          <w:rFonts w:ascii="Times New Roman" w:hAnsi="Times New Roman" w:eastAsia="仿宋" w:cs="Times New Roman"/>
          <w:kern w:val="0"/>
          <w:szCs w:val="21"/>
        </w:rPr>
        <w:t>和间接碳排放协同减排效应不明显。除了间接碳排放总量视角，列（6）还构造了间接碳排放强度指标ln(</w:t>
      </w:r>
      <w:r>
        <w:rPr>
          <w:rFonts w:ascii="Times New Roman" w:hAnsi="Times New Roman" w:eastAsia="仿宋" w:cs="Times New Roman"/>
          <w:i/>
          <w:iCs/>
          <w:kern w:val="0"/>
          <w:szCs w:val="21"/>
        </w:rPr>
        <w:t>CO</w:t>
      </w:r>
      <w:r>
        <w:rPr>
          <w:rFonts w:ascii="Times New Roman" w:hAnsi="Times New Roman" w:eastAsia="仿宋" w:cs="Times New Roman"/>
          <w:i/>
          <w:iCs/>
          <w:kern w:val="0"/>
          <w:szCs w:val="21"/>
          <w:vertAlign w:val="subscript"/>
        </w:rPr>
        <w:t>2</w:t>
      </w:r>
      <w:r>
        <w:rPr>
          <w:rFonts w:ascii="Times New Roman" w:hAnsi="Times New Roman" w:eastAsia="仿宋" w:cs="Times New Roman"/>
          <w:i/>
          <w:iCs/>
          <w:kern w:val="0"/>
          <w:szCs w:val="21"/>
        </w:rPr>
        <w:t>_jj</w:t>
      </w:r>
      <w:r>
        <w:rPr>
          <w:rFonts w:ascii="Times New Roman" w:hAnsi="Times New Roman" w:eastAsia="仿宋" w:cs="Times New Roman"/>
          <w:kern w:val="0"/>
          <w:szCs w:val="21"/>
        </w:rPr>
        <w:t>/y)，并以之为被解释变量进行回归，发现清洁生产标准实施对间接碳排放强度的影响也不显著，这可能与我国清洁生产强制性审核的执行以及工业终端用能电气化不足等因素有关。</w:t>
      </w:r>
      <w:bookmarkEnd w:id="10"/>
    </w:p>
    <w:p>
      <w:pPr>
        <w:adjustRightInd w:val="0"/>
        <w:snapToGrid w:val="0"/>
        <w:rPr>
          <w:rFonts w:ascii="Times New Roman" w:hAnsi="Times New Roman" w:eastAsia="仿宋" w:cs="Times New Roman"/>
          <w:sz w:val="15"/>
          <w:szCs w:val="15"/>
          <w:shd w:val="clear" w:color="auto" w:fill="FFFFFF"/>
        </w:rPr>
      </w:pPr>
    </w:p>
    <w:p>
      <w:pPr>
        <w:snapToGrid w:val="0"/>
        <w:ind w:firstLine="336" w:firstLineChars="200"/>
        <w:jc w:val="center"/>
        <w:rPr>
          <w:rFonts w:hint="eastAsia" w:ascii="黑体" w:hAnsi="黑体" w:eastAsia="黑体" w:cs="黑体"/>
          <w:sz w:val="18"/>
          <w:szCs w:val="18"/>
        </w:rPr>
      </w:pPr>
      <w:r>
        <w:rPr>
          <w:rFonts w:hint="eastAsia" w:ascii="黑体" w:hAnsi="黑体" w:eastAsia="黑体" w:cs="黑体"/>
          <w:sz w:val="18"/>
          <w:szCs w:val="18"/>
        </w:rPr>
        <w:t>表I4  考虑企业电耗间接碳排放</w:t>
      </w:r>
    </w:p>
    <w:tbl>
      <w:tblPr>
        <w:tblStyle w:val="24"/>
        <w:tblW w:w="5000" w:type="pct"/>
        <w:jc w:val="center"/>
        <w:tblLayout w:type="autofit"/>
        <w:tblCellMar>
          <w:top w:w="0" w:type="dxa"/>
          <w:left w:w="75" w:type="dxa"/>
          <w:bottom w:w="0" w:type="dxa"/>
          <w:right w:w="75" w:type="dxa"/>
        </w:tblCellMar>
      </w:tblPr>
      <w:tblGrid>
        <w:gridCol w:w="1694"/>
        <w:gridCol w:w="1127"/>
        <w:gridCol w:w="1129"/>
        <w:gridCol w:w="1129"/>
        <w:gridCol w:w="1129"/>
        <w:gridCol w:w="1129"/>
        <w:gridCol w:w="1125"/>
      </w:tblGrid>
      <w:tr>
        <w:tblPrEx>
          <w:tblCellMar>
            <w:top w:w="0" w:type="dxa"/>
            <w:left w:w="75" w:type="dxa"/>
            <w:bottom w:w="0" w:type="dxa"/>
            <w:right w:w="75" w:type="dxa"/>
          </w:tblCellMar>
        </w:tblPrEx>
        <w:trPr>
          <w:jc w:val="center"/>
        </w:trPr>
        <w:tc>
          <w:tcPr>
            <w:tcW w:w="1001" w:type="pct"/>
            <w:vMerge w:val="restart"/>
            <w:tcBorders>
              <w:top w:val="single" w:color="auto" w:sz="8" w:space="0"/>
              <w:left w:val="nil"/>
              <w:right w:val="nil"/>
            </w:tcBorders>
          </w:tcPr>
          <w:p>
            <w:pPr>
              <w:autoSpaceDE w:val="0"/>
              <w:autoSpaceDN w:val="0"/>
              <w:adjustRightInd w:val="0"/>
              <w:snapToGrid w:val="0"/>
              <w:jc w:val="left"/>
              <w:rPr>
                <w:rFonts w:ascii="Times New Roman" w:hAnsi="Times New Roman" w:eastAsia="仿宋" w:cs="Times New Roman"/>
                <w:kern w:val="0"/>
                <w:sz w:val="18"/>
                <w:szCs w:val="18"/>
              </w:rPr>
            </w:pPr>
          </w:p>
        </w:tc>
        <w:tc>
          <w:tcPr>
            <w:tcW w:w="666" w:type="pct"/>
            <w:tcBorders>
              <w:top w:val="single" w:color="auto" w:sz="8"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667" w:type="pct"/>
            <w:tcBorders>
              <w:top w:val="single" w:color="auto" w:sz="8" w:space="0"/>
              <w:left w:val="nil"/>
              <w:bottom w:val="single" w:color="auto" w:sz="4" w:space="0"/>
              <w:right w:val="single" w:color="auto" w:sz="4" w:space="0"/>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667" w:type="pct"/>
            <w:tcBorders>
              <w:top w:val="single" w:color="auto" w:sz="8" w:space="0"/>
              <w:left w:val="single" w:color="auto" w:sz="4" w:space="0"/>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c>
          <w:tcPr>
            <w:tcW w:w="667" w:type="pct"/>
            <w:tcBorders>
              <w:top w:val="single" w:color="auto" w:sz="8"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w:t>
            </w:r>
          </w:p>
        </w:tc>
        <w:tc>
          <w:tcPr>
            <w:tcW w:w="667" w:type="pct"/>
            <w:tcBorders>
              <w:top w:val="single" w:color="auto" w:sz="8"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w:t>
            </w:r>
          </w:p>
        </w:tc>
        <w:tc>
          <w:tcPr>
            <w:tcW w:w="667" w:type="pct"/>
            <w:tcBorders>
              <w:top w:val="single" w:color="auto" w:sz="8"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（6）</w:t>
            </w:r>
          </w:p>
        </w:tc>
      </w:tr>
      <w:tr>
        <w:tblPrEx>
          <w:tblCellMar>
            <w:top w:w="0" w:type="dxa"/>
            <w:left w:w="75" w:type="dxa"/>
            <w:bottom w:w="0" w:type="dxa"/>
            <w:right w:w="75" w:type="dxa"/>
          </w:tblCellMar>
        </w:tblPrEx>
        <w:trPr>
          <w:jc w:val="center"/>
        </w:trPr>
        <w:tc>
          <w:tcPr>
            <w:tcW w:w="1001" w:type="pct"/>
            <w:vMerge w:val="continue"/>
            <w:tcBorders>
              <w:left w:val="nil"/>
              <w:right w:val="nil"/>
            </w:tcBorders>
          </w:tcPr>
          <w:p>
            <w:pPr>
              <w:autoSpaceDE w:val="0"/>
              <w:autoSpaceDN w:val="0"/>
              <w:adjustRightInd w:val="0"/>
              <w:snapToGrid w:val="0"/>
              <w:jc w:val="left"/>
              <w:rPr>
                <w:rFonts w:ascii="Times New Roman" w:hAnsi="Times New Roman" w:eastAsia="仿宋" w:cs="Times New Roman"/>
                <w:kern w:val="0"/>
                <w:sz w:val="18"/>
                <w:szCs w:val="18"/>
              </w:rPr>
            </w:pPr>
          </w:p>
        </w:tc>
        <w:tc>
          <w:tcPr>
            <w:tcW w:w="1333" w:type="pct"/>
            <w:gridSpan w:val="2"/>
            <w:tcBorders>
              <w:top w:val="single" w:color="auto" w:sz="4" w:space="0"/>
              <w:left w:val="nil"/>
              <w:bottom w:val="nil"/>
              <w:right w:val="single" w:color="auto" w:sz="4" w:space="0"/>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全国税收调查数据库</w:t>
            </w:r>
          </w:p>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(2008-2011)</w:t>
            </w:r>
          </w:p>
        </w:tc>
        <w:tc>
          <w:tcPr>
            <w:tcW w:w="2666" w:type="pct"/>
            <w:gridSpan w:val="4"/>
            <w:tcBorders>
              <w:top w:val="single" w:color="auto" w:sz="4" w:space="0"/>
              <w:left w:val="single" w:color="auto" w:sz="4" w:space="0"/>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全国税调库、工企库、工企污染库和匹配库</w:t>
            </w:r>
          </w:p>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(2008-2011)</w:t>
            </w:r>
          </w:p>
        </w:tc>
      </w:tr>
      <w:tr>
        <w:tblPrEx>
          <w:tblCellMar>
            <w:top w:w="0" w:type="dxa"/>
            <w:left w:w="75" w:type="dxa"/>
            <w:bottom w:w="0" w:type="dxa"/>
            <w:right w:w="75" w:type="dxa"/>
          </w:tblCellMar>
        </w:tblPrEx>
        <w:trPr>
          <w:jc w:val="center"/>
        </w:trPr>
        <w:tc>
          <w:tcPr>
            <w:tcW w:w="1001" w:type="pct"/>
            <w:vMerge w:val="continue"/>
            <w:tcBorders>
              <w:left w:val="nil"/>
              <w:bottom w:val="single" w:color="auto" w:sz="6" w:space="0"/>
              <w:right w:val="nil"/>
            </w:tcBorders>
          </w:tcPr>
          <w:p>
            <w:pPr>
              <w:autoSpaceDE w:val="0"/>
              <w:autoSpaceDN w:val="0"/>
              <w:adjustRightInd w:val="0"/>
              <w:snapToGrid w:val="0"/>
              <w:jc w:val="left"/>
              <w:rPr>
                <w:rFonts w:ascii="Times New Roman" w:hAnsi="Times New Roman" w:eastAsia="仿宋" w:cs="Times New Roman"/>
                <w:kern w:val="0"/>
                <w:sz w:val="18"/>
                <w:szCs w:val="18"/>
              </w:rPr>
            </w:pPr>
          </w:p>
        </w:tc>
        <w:tc>
          <w:tcPr>
            <w:tcW w:w="666"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CO</w:t>
            </w:r>
            <w:r>
              <w:rPr>
                <w:rFonts w:ascii="Times New Roman" w:hAnsi="Times New Roman" w:eastAsia="仿宋" w:cs="Times New Roman"/>
                <w:i/>
                <w:iCs/>
                <w:kern w:val="0"/>
                <w:sz w:val="18"/>
                <w:szCs w:val="18"/>
                <w:vertAlign w:val="subscript"/>
              </w:rPr>
              <w:t>2</w:t>
            </w:r>
          </w:p>
        </w:tc>
        <w:tc>
          <w:tcPr>
            <w:tcW w:w="667" w:type="pct"/>
            <w:tcBorders>
              <w:top w:val="nil"/>
              <w:left w:val="nil"/>
              <w:bottom w:val="single" w:color="auto" w:sz="6" w:space="0"/>
              <w:right w:val="single" w:color="auto" w:sz="4" w:space="0"/>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CO</w:t>
            </w:r>
            <w:r>
              <w:rPr>
                <w:rFonts w:ascii="Times New Roman" w:hAnsi="Times New Roman" w:eastAsia="仿宋" w:cs="Times New Roman"/>
                <w:i/>
                <w:iCs/>
                <w:kern w:val="0"/>
                <w:sz w:val="18"/>
                <w:szCs w:val="18"/>
                <w:vertAlign w:val="subscript"/>
              </w:rPr>
              <w:t>2_jj</w:t>
            </w:r>
          </w:p>
        </w:tc>
        <w:tc>
          <w:tcPr>
            <w:tcW w:w="667" w:type="pct"/>
            <w:tcBorders>
              <w:top w:val="nil"/>
              <w:left w:val="single" w:color="auto" w:sz="4" w:space="0"/>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SO</w:t>
            </w:r>
            <w:r>
              <w:rPr>
                <w:rFonts w:ascii="Times New Roman" w:hAnsi="Times New Roman" w:cs="Times New Roman"/>
                <w:i/>
                <w:iCs/>
                <w:kern w:val="0"/>
                <w:sz w:val="18"/>
                <w:szCs w:val="18"/>
                <w:vertAlign w:val="subscript"/>
              </w:rPr>
              <w:t>2</w:t>
            </w:r>
          </w:p>
        </w:tc>
        <w:tc>
          <w:tcPr>
            <w:tcW w:w="66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CO</w:t>
            </w:r>
            <w:r>
              <w:rPr>
                <w:rFonts w:ascii="Times New Roman" w:hAnsi="Times New Roman" w:cs="Times New Roman"/>
                <w:i/>
                <w:iCs/>
                <w:kern w:val="0"/>
                <w:sz w:val="18"/>
                <w:szCs w:val="18"/>
                <w:vertAlign w:val="subscript"/>
              </w:rPr>
              <w:t>2</w:t>
            </w:r>
          </w:p>
        </w:tc>
        <w:tc>
          <w:tcPr>
            <w:tcW w:w="66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CO</w:t>
            </w:r>
            <w:r>
              <w:rPr>
                <w:rFonts w:ascii="Times New Roman" w:hAnsi="Times New Roman" w:cs="Times New Roman"/>
                <w:i/>
                <w:iCs/>
                <w:kern w:val="0"/>
                <w:sz w:val="18"/>
                <w:szCs w:val="18"/>
                <w:vertAlign w:val="subscript"/>
              </w:rPr>
              <w:t>2</w:t>
            </w:r>
            <w:r>
              <w:rPr>
                <w:rFonts w:ascii="Times New Roman" w:hAnsi="Times New Roman" w:cs="Times New Roman"/>
                <w:i/>
                <w:iCs/>
                <w:kern w:val="0"/>
                <w:sz w:val="18"/>
                <w:szCs w:val="18"/>
              </w:rPr>
              <w:t>_jj</w:t>
            </w:r>
          </w:p>
        </w:tc>
        <w:tc>
          <w:tcPr>
            <w:tcW w:w="66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ln (</w:t>
            </w:r>
            <w:r>
              <w:rPr>
                <w:rFonts w:ascii="Times New Roman" w:hAnsi="Times New Roman" w:cs="Times New Roman"/>
                <w:i/>
                <w:iCs/>
                <w:kern w:val="0"/>
                <w:sz w:val="18"/>
                <w:szCs w:val="18"/>
              </w:rPr>
              <w:t>CO</w:t>
            </w:r>
            <w:r>
              <w:rPr>
                <w:rFonts w:ascii="Times New Roman" w:hAnsi="Times New Roman" w:cs="Times New Roman"/>
                <w:i/>
                <w:iCs/>
                <w:kern w:val="0"/>
                <w:sz w:val="18"/>
                <w:szCs w:val="18"/>
                <w:vertAlign w:val="subscript"/>
              </w:rPr>
              <w:t>2</w:t>
            </w:r>
            <w:r>
              <w:rPr>
                <w:rFonts w:ascii="Times New Roman" w:hAnsi="Times New Roman" w:cs="Times New Roman"/>
                <w:i/>
                <w:iCs/>
                <w:kern w:val="0"/>
                <w:sz w:val="18"/>
                <w:szCs w:val="18"/>
              </w:rPr>
              <w:t>_jj</w:t>
            </w:r>
            <w:r>
              <w:rPr>
                <w:rFonts w:ascii="Times New Roman" w:hAnsi="Times New Roman" w:cs="Times New Roman"/>
                <w:kern w:val="0"/>
                <w:sz w:val="18"/>
                <w:szCs w:val="18"/>
              </w:rPr>
              <w:t>/y)</w:t>
            </w:r>
          </w:p>
        </w:tc>
      </w:tr>
      <w:tr>
        <w:tblPrEx>
          <w:tblCellMar>
            <w:top w:w="0" w:type="dxa"/>
            <w:left w:w="75" w:type="dxa"/>
            <w:bottom w:w="0" w:type="dxa"/>
            <w:right w:w="75" w:type="dxa"/>
          </w:tblCellMar>
        </w:tblPrEx>
        <w:trPr>
          <w:jc w:val="center"/>
        </w:trPr>
        <w:tc>
          <w:tcPr>
            <w:tcW w:w="1001"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i/>
                <w:iCs/>
                <w:kern w:val="0"/>
                <w:sz w:val="18"/>
                <w:szCs w:val="18"/>
              </w:rPr>
            </w:pPr>
            <w:r>
              <w:rPr>
                <w:rFonts w:ascii="Times New Roman" w:hAnsi="Times New Roman" w:eastAsia="仿宋" w:cs="Times New Roman"/>
                <w:i/>
                <w:iCs/>
                <w:kern w:val="0"/>
                <w:sz w:val="18"/>
                <w:szCs w:val="18"/>
              </w:rPr>
              <w:t>cps</w:t>
            </w:r>
          </w:p>
        </w:tc>
        <w:tc>
          <w:tcPr>
            <w:tcW w:w="666"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-0.105**</w:t>
            </w:r>
          </w:p>
        </w:tc>
        <w:tc>
          <w:tcPr>
            <w:tcW w:w="667" w:type="pct"/>
            <w:tcBorders>
              <w:top w:val="nil"/>
              <w:left w:val="nil"/>
              <w:bottom w:val="nil"/>
              <w:right w:val="single" w:color="auto" w:sz="4" w:space="0"/>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0.027</w:t>
            </w:r>
          </w:p>
        </w:tc>
        <w:tc>
          <w:tcPr>
            <w:tcW w:w="667" w:type="pct"/>
            <w:tcBorders>
              <w:top w:val="nil"/>
              <w:left w:val="single" w:color="auto" w:sz="4" w:space="0"/>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-0.332***</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-0.061***</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-0.152</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sz w:val="18"/>
                <w:szCs w:val="18"/>
              </w:rPr>
              <w:t>0.032</w:t>
            </w:r>
          </w:p>
        </w:tc>
      </w:tr>
      <w:tr>
        <w:tblPrEx>
          <w:tblCellMar>
            <w:top w:w="0" w:type="dxa"/>
            <w:left w:w="75" w:type="dxa"/>
            <w:bottom w:w="0" w:type="dxa"/>
            <w:right w:w="75" w:type="dxa"/>
          </w:tblCellMar>
        </w:tblPrEx>
        <w:trPr>
          <w:jc w:val="center"/>
        </w:trPr>
        <w:tc>
          <w:tcPr>
            <w:tcW w:w="1001"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p>
        </w:tc>
        <w:tc>
          <w:tcPr>
            <w:tcW w:w="666"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(0.051)</w:t>
            </w:r>
          </w:p>
        </w:tc>
        <w:tc>
          <w:tcPr>
            <w:tcW w:w="667" w:type="pct"/>
            <w:tcBorders>
              <w:top w:val="nil"/>
              <w:left w:val="nil"/>
              <w:bottom w:val="nil"/>
              <w:right w:val="single" w:color="auto" w:sz="4" w:space="0"/>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(0.034)</w:t>
            </w:r>
          </w:p>
        </w:tc>
        <w:tc>
          <w:tcPr>
            <w:tcW w:w="667" w:type="pct"/>
            <w:tcBorders>
              <w:top w:val="nil"/>
              <w:left w:val="single" w:color="auto" w:sz="4" w:space="0"/>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(0.096)</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(0.018)</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(0.174)</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sz w:val="18"/>
                <w:szCs w:val="18"/>
              </w:rPr>
              <w:t>(0.021)</w:t>
            </w:r>
          </w:p>
        </w:tc>
      </w:tr>
      <w:tr>
        <w:tblPrEx>
          <w:tblCellMar>
            <w:top w:w="0" w:type="dxa"/>
            <w:left w:w="75" w:type="dxa"/>
            <w:bottom w:w="0" w:type="dxa"/>
            <w:right w:w="75" w:type="dxa"/>
          </w:tblCellMar>
        </w:tblPrEx>
        <w:trPr>
          <w:jc w:val="center"/>
        </w:trPr>
        <w:tc>
          <w:tcPr>
            <w:tcW w:w="1001"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控制变量</w:t>
            </w:r>
          </w:p>
        </w:tc>
        <w:tc>
          <w:tcPr>
            <w:tcW w:w="666"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single" w:color="auto" w:sz="4" w:space="0"/>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single" w:color="auto" w:sz="4" w:space="0"/>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r>
      <w:tr>
        <w:tblPrEx>
          <w:tblCellMar>
            <w:top w:w="0" w:type="dxa"/>
            <w:left w:w="75" w:type="dxa"/>
            <w:bottom w:w="0" w:type="dxa"/>
            <w:right w:w="75" w:type="dxa"/>
          </w:tblCellMar>
        </w:tblPrEx>
        <w:trPr>
          <w:jc w:val="center"/>
        </w:trPr>
        <w:tc>
          <w:tcPr>
            <w:tcW w:w="1001"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企业固定效应</w:t>
            </w:r>
          </w:p>
        </w:tc>
        <w:tc>
          <w:tcPr>
            <w:tcW w:w="666"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single" w:color="auto" w:sz="4" w:space="0"/>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single" w:color="auto" w:sz="4" w:space="0"/>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r>
      <w:tr>
        <w:tblPrEx>
          <w:tblCellMar>
            <w:top w:w="0" w:type="dxa"/>
            <w:left w:w="75" w:type="dxa"/>
            <w:bottom w:w="0" w:type="dxa"/>
            <w:right w:w="75" w:type="dxa"/>
          </w:tblCellMar>
        </w:tblPrEx>
        <w:trPr>
          <w:jc w:val="center"/>
        </w:trPr>
        <w:tc>
          <w:tcPr>
            <w:tcW w:w="1001"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行业固定效应</w:t>
            </w:r>
          </w:p>
        </w:tc>
        <w:tc>
          <w:tcPr>
            <w:tcW w:w="666"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single" w:color="auto" w:sz="4" w:space="0"/>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single" w:color="auto" w:sz="4" w:space="0"/>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r>
      <w:tr>
        <w:tblPrEx>
          <w:tblCellMar>
            <w:top w:w="0" w:type="dxa"/>
            <w:left w:w="75" w:type="dxa"/>
            <w:bottom w:w="0" w:type="dxa"/>
            <w:right w:w="75" w:type="dxa"/>
          </w:tblCellMar>
        </w:tblPrEx>
        <w:trPr>
          <w:jc w:val="center"/>
        </w:trPr>
        <w:tc>
          <w:tcPr>
            <w:tcW w:w="1001"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城市-年份固定效应</w:t>
            </w:r>
          </w:p>
        </w:tc>
        <w:tc>
          <w:tcPr>
            <w:tcW w:w="666"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single" w:color="auto" w:sz="4" w:space="0"/>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single" w:color="auto" w:sz="4" w:space="0"/>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r>
      <w:tr>
        <w:tblPrEx>
          <w:tblCellMar>
            <w:top w:w="0" w:type="dxa"/>
            <w:left w:w="75" w:type="dxa"/>
            <w:bottom w:w="0" w:type="dxa"/>
            <w:right w:w="75" w:type="dxa"/>
          </w:tblCellMar>
        </w:tblPrEx>
        <w:trPr>
          <w:jc w:val="center"/>
        </w:trPr>
        <w:tc>
          <w:tcPr>
            <w:tcW w:w="1001"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Observations</w:t>
            </w:r>
          </w:p>
        </w:tc>
        <w:tc>
          <w:tcPr>
            <w:tcW w:w="666"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790,959</w:t>
            </w:r>
          </w:p>
        </w:tc>
        <w:tc>
          <w:tcPr>
            <w:tcW w:w="667" w:type="pct"/>
            <w:tcBorders>
              <w:top w:val="nil"/>
              <w:left w:val="nil"/>
              <w:bottom w:val="nil"/>
              <w:right w:val="single" w:color="auto" w:sz="4" w:space="0"/>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984,880</w:t>
            </w:r>
          </w:p>
        </w:tc>
        <w:tc>
          <w:tcPr>
            <w:tcW w:w="667" w:type="pct"/>
            <w:tcBorders>
              <w:top w:val="nil"/>
              <w:left w:val="single" w:color="auto" w:sz="4" w:space="0"/>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63,807</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87,471</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81,905</w:t>
            </w:r>
          </w:p>
        </w:tc>
        <w:tc>
          <w:tcPr>
            <w:tcW w:w="66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81,905</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01" w:type="pct"/>
            <w:tcBorders>
              <w:top w:val="nil"/>
              <w:left w:val="nil"/>
              <w:bottom w:val="single" w:color="auto" w:sz="8" w:space="0"/>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R-squared</w:t>
            </w:r>
          </w:p>
        </w:tc>
        <w:tc>
          <w:tcPr>
            <w:tcW w:w="666"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0.756</w:t>
            </w:r>
          </w:p>
        </w:tc>
        <w:tc>
          <w:tcPr>
            <w:tcW w:w="667" w:type="pct"/>
            <w:tcBorders>
              <w:top w:val="nil"/>
              <w:left w:val="nil"/>
              <w:bottom w:val="single" w:color="auto" w:sz="8" w:space="0"/>
              <w:right w:val="single" w:color="auto" w:sz="4" w:space="0"/>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0.704</w:t>
            </w:r>
          </w:p>
        </w:tc>
        <w:tc>
          <w:tcPr>
            <w:tcW w:w="667" w:type="pct"/>
            <w:tcBorders>
              <w:top w:val="nil"/>
              <w:left w:val="single" w:color="auto" w:sz="4" w:space="0"/>
              <w:bottom w:val="single" w:color="auto" w:sz="8"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0.964</w:t>
            </w:r>
          </w:p>
        </w:tc>
        <w:tc>
          <w:tcPr>
            <w:tcW w:w="667"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0.926</w:t>
            </w:r>
          </w:p>
        </w:tc>
        <w:tc>
          <w:tcPr>
            <w:tcW w:w="667"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0.770</w:t>
            </w:r>
          </w:p>
        </w:tc>
        <w:tc>
          <w:tcPr>
            <w:tcW w:w="667"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0.952</w:t>
            </w:r>
          </w:p>
        </w:tc>
      </w:tr>
    </w:tbl>
    <w:p>
      <w:pPr>
        <w:bidi w:val="0"/>
      </w:pPr>
      <w:bookmarkStart w:id="11" w:name="_Toc160282115"/>
      <w:bookmarkStart w:id="12" w:name="_Toc160281482"/>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jc w:val="center"/>
        <w:rPr>
          <w:rFonts w:hint="eastAsia" w:ascii="楷体" w:hAnsi="楷体" w:eastAsia="楷体" w:cs="楷体"/>
          <w:sz w:val="28"/>
          <w:szCs w:val="32"/>
        </w:rPr>
      </w:pPr>
      <w:r>
        <w:rPr>
          <w:rFonts w:hint="eastAsia" w:ascii="楷体" w:hAnsi="楷体" w:eastAsia="楷体" w:cs="楷体"/>
          <w:sz w:val="28"/>
          <w:szCs w:val="32"/>
        </w:rPr>
        <w:t>附录II 异质性分析</w:t>
      </w:r>
      <w:bookmarkEnd w:id="11"/>
      <w:bookmarkEnd w:id="12"/>
    </w:p>
    <w:p>
      <w:pPr>
        <w:pStyle w:val="3"/>
        <w:keepNext w:val="0"/>
        <w:keepLines w:val="0"/>
        <w:widowControl/>
        <w:spacing w:before="0" w:after="0"/>
        <w:ind w:firstLine="396" w:firstLineChars="200"/>
        <w:jc w:val="left"/>
        <w:rPr>
          <w:rFonts w:ascii="Times New Roman" w:hAnsi="Times New Roman" w:eastAsia="仿宋" w:cs="Times New Roman"/>
          <w:b/>
          <w:bCs/>
          <w:color w:val="auto"/>
          <w:kern w:val="0"/>
          <w:sz w:val="21"/>
          <w:szCs w:val="21"/>
        </w:rPr>
      </w:pPr>
      <w:bookmarkStart w:id="13" w:name="_Toc160281483"/>
      <w:bookmarkStart w:id="14" w:name="_Toc160282116"/>
      <w:r>
        <w:rPr>
          <w:rFonts w:ascii="Times New Roman" w:hAnsi="Times New Roman" w:eastAsia="仿宋" w:cs="Times New Roman"/>
          <w:b/>
          <w:bCs/>
          <w:color w:val="auto"/>
          <w:kern w:val="0"/>
          <w:sz w:val="21"/>
          <w:szCs w:val="21"/>
        </w:rPr>
        <w:t>1.非对称政策效果</w:t>
      </w:r>
      <w:bookmarkEnd w:id="13"/>
      <w:bookmarkEnd w:id="14"/>
    </w:p>
    <w:p>
      <w:pPr>
        <w:ind w:firstLine="396" w:firstLineChars="200"/>
        <w:rPr>
          <w:rFonts w:ascii="Times New Roman" w:hAnsi="Times New Roman" w:eastAsia="仿宋" w:cs="Times New Roman"/>
          <w:szCs w:val="21"/>
        </w:rPr>
      </w:pPr>
      <w:r>
        <w:rPr>
          <w:rFonts w:ascii="Times New Roman" w:hAnsi="Times New Roman" w:eastAsia="仿宋" w:cs="Times New Roman"/>
          <w:szCs w:val="21"/>
        </w:rPr>
        <w:t>表II1报告了非对称政策效果。不同污染排放水平的企业承担的环境治理责任不同，受到的环境规制要求存在显著差异，因此对环境规制的反应行为也有所不同（于亚卓等，2021）。为此，首先构造前定行业污染属性变量，通过计算政策实施前一年四位数行业污染排放强度水平，采用行业SO</w:t>
      </w:r>
      <w:r>
        <w:rPr>
          <w:rFonts w:ascii="Times New Roman" w:hAnsi="Times New Roman" w:eastAsia="仿宋" w:cs="Times New Roman"/>
          <w:szCs w:val="21"/>
          <w:vertAlign w:val="subscript"/>
        </w:rPr>
        <w:t>2</w:t>
      </w:r>
      <w:r>
        <w:rPr>
          <w:rFonts w:ascii="Times New Roman" w:hAnsi="Times New Roman" w:eastAsia="仿宋" w:cs="Times New Roman"/>
          <w:szCs w:val="21"/>
        </w:rPr>
        <w:t>排放量与工业增加值的比值表示，另外，根据中位数设定污染行业哑变量(</w:t>
      </w:r>
      <w:r>
        <w:rPr>
          <w:rFonts w:ascii="Times New Roman" w:hAnsi="Times New Roman" w:eastAsia="仿宋" w:cs="Times New Roman"/>
          <w:i/>
          <w:iCs/>
          <w:szCs w:val="21"/>
        </w:rPr>
        <w:t>pollution50</w:t>
      </w:r>
      <w:r>
        <w:rPr>
          <w:rFonts w:ascii="Times New Roman" w:hAnsi="Times New Roman" w:eastAsia="仿宋" w:cs="Times New Roman"/>
          <w:szCs w:val="21"/>
        </w:rPr>
        <w:t>)，进而构造清洁生产标准实施与污染行业属性交叉项</w:t>
      </w:r>
      <w:r>
        <w:rPr>
          <w:rFonts w:ascii="Times New Roman" w:hAnsi="Times New Roman" w:eastAsia="仿宋" w:cs="Times New Roman"/>
          <w:i/>
          <w:iCs/>
          <w:szCs w:val="21"/>
        </w:rPr>
        <w:t>cps</w:t>
      </w:r>
      <w:r>
        <w:rPr>
          <w:rFonts w:ascii="Times New Roman" w:hAnsi="Times New Roman" w:eastAsia="仿宋" w:cs="Times New Roman"/>
          <w:i/>
          <w:iCs/>
          <w:szCs w:val="21"/>
          <w:vertAlign w:val="subscript"/>
        </w:rPr>
        <w:t>it</w:t>
      </w:r>
      <w:r>
        <w:rPr>
          <w:rFonts w:ascii="Times New Roman" w:hAnsi="Times New Roman" w:eastAsia="仿宋" w:cs="Times New Roman"/>
          <w:szCs w:val="21"/>
        </w:rPr>
        <w:t>×</w:t>
      </w:r>
      <w:r>
        <w:rPr>
          <w:rFonts w:ascii="Times New Roman" w:hAnsi="Times New Roman" w:eastAsia="仿宋" w:cs="Times New Roman"/>
          <w:i/>
          <w:iCs/>
          <w:szCs w:val="21"/>
        </w:rPr>
        <w:t>pollution50</w:t>
      </w:r>
      <w:r>
        <w:rPr>
          <w:rFonts w:ascii="Times New Roman" w:hAnsi="Times New Roman" w:eastAsia="仿宋" w:cs="Times New Roman"/>
          <w:i/>
          <w:iCs/>
          <w:szCs w:val="21"/>
          <w:vertAlign w:val="subscript"/>
        </w:rPr>
        <w:t>it</w:t>
      </w:r>
      <w:r>
        <w:rPr>
          <w:rFonts w:ascii="Times New Roman" w:hAnsi="Times New Roman" w:eastAsia="仿宋" w:cs="Times New Roman"/>
          <w:szCs w:val="21"/>
        </w:rPr>
        <w:t>,，其系数是关注焦点。列（1）和列（2）报告了估计结果，发现高污染企业表现出更强的减污降碳协同效应。二是除设定行业污染水平哑变量之外，基于广义DID方法（Nunn and Qian,2011），直接构造清洁生产标准实施变量与企业SO</w:t>
      </w:r>
      <w:r>
        <w:rPr>
          <w:rFonts w:ascii="Times New Roman" w:hAnsi="Times New Roman" w:eastAsia="仿宋" w:cs="Times New Roman"/>
          <w:szCs w:val="21"/>
          <w:vertAlign w:val="subscript"/>
        </w:rPr>
        <w:t>2</w:t>
      </w:r>
      <w:r>
        <w:rPr>
          <w:rFonts w:ascii="Times New Roman" w:hAnsi="Times New Roman" w:eastAsia="仿宋" w:cs="Times New Roman"/>
          <w:szCs w:val="21"/>
        </w:rPr>
        <w:t>排放强度交叉项</w:t>
      </w:r>
      <w:r>
        <w:rPr>
          <w:rFonts w:ascii="Times New Roman" w:hAnsi="Times New Roman" w:eastAsia="仿宋" w:cs="Times New Roman"/>
          <w:i/>
          <w:iCs/>
          <w:szCs w:val="21"/>
        </w:rPr>
        <w:t>cps</w:t>
      </w:r>
      <w:r>
        <w:rPr>
          <w:rFonts w:ascii="Times New Roman" w:hAnsi="Times New Roman" w:eastAsia="仿宋" w:cs="Times New Roman"/>
          <w:szCs w:val="21"/>
        </w:rPr>
        <w:t>×ln</w:t>
      </w:r>
      <w:r>
        <w:rPr>
          <w:rFonts w:ascii="Times New Roman" w:hAnsi="Times New Roman" w:eastAsia="仿宋" w:cs="Times New Roman"/>
          <w:i/>
          <w:iCs/>
          <w:szCs w:val="21"/>
        </w:rPr>
        <w:t>so2den</w:t>
      </w:r>
      <w:r>
        <w:rPr>
          <w:rFonts w:ascii="Times New Roman" w:hAnsi="Times New Roman" w:eastAsia="仿宋" w:cs="Times New Roman"/>
          <w:szCs w:val="21"/>
        </w:rPr>
        <w:t>进行验证。列（3）和列（4）中，交叉项系数均显著为负，同样表明高污染企业减污降碳效应更显著。</w:t>
      </w:r>
    </w:p>
    <w:p>
      <w:pPr>
        <w:snapToGrid w:val="0"/>
        <w:ind w:firstLine="336" w:firstLineChars="200"/>
        <w:jc w:val="center"/>
        <w:rPr>
          <w:rFonts w:hint="eastAsia" w:ascii="黑体" w:hAnsi="黑体" w:eastAsia="黑体" w:cs="黑体"/>
          <w:sz w:val="18"/>
          <w:szCs w:val="18"/>
        </w:rPr>
      </w:pPr>
      <w:r>
        <w:rPr>
          <w:rFonts w:hint="eastAsia" w:ascii="黑体" w:hAnsi="黑体" w:eastAsia="黑体" w:cs="黑体"/>
          <w:sz w:val="18"/>
          <w:szCs w:val="18"/>
        </w:rPr>
        <w:t>表II1 非对称政策效果</w:t>
      </w:r>
    </w:p>
    <w:tbl>
      <w:tblPr>
        <w:tblStyle w:val="24"/>
        <w:tblW w:w="5000" w:type="pct"/>
        <w:jc w:val="center"/>
        <w:tblLayout w:type="autofit"/>
        <w:tblCellMar>
          <w:top w:w="0" w:type="dxa"/>
          <w:left w:w="75" w:type="dxa"/>
          <w:bottom w:w="0" w:type="dxa"/>
          <w:right w:w="75" w:type="dxa"/>
        </w:tblCellMar>
      </w:tblPr>
      <w:tblGrid>
        <w:gridCol w:w="2719"/>
        <w:gridCol w:w="1461"/>
        <w:gridCol w:w="1364"/>
        <w:gridCol w:w="1459"/>
        <w:gridCol w:w="1459"/>
      </w:tblGrid>
      <w:tr>
        <w:tblPrEx>
          <w:tblCellMar>
            <w:top w:w="0" w:type="dxa"/>
            <w:left w:w="75" w:type="dxa"/>
            <w:bottom w:w="0" w:type="dxa"/>
            <w:right w:w="75" w:type="dxa"/>
          </w:tblCellMar>
        </w:tblPrEx>
        <w:trPr>
          <w:cantSplit/>
          <w:jc w:val="center"/>
        </w:trPr>
        <w:tc>
          <w:tcPr>
            <w:tcW w:w="1607" w:type="pct"/>
            <w:vMerge w:val="restart"/>
            <w:tcBorders>
              <w:top w:val="single" w:color="auto" w:sz="8" w:space="0"/>
              <w:left w:val="nil"/>
              <w:right w:val="nil"/>
            </w:tcBorders>
          </w:tcPr>
          <w:p>
            <w:pPr>
              <w:autoSpaceDE w:val="0"/>
              <w:autoSpaceDN w:val="0"/>
              <w:adjustRightInd w:val="0"/>
              <w:snapToGrid w:val="0"/>
              <w:jc w:val="left"/>
              <w:rPr>
                <w:rFonts w:ascii="Times New Roman" w:hAnsi="Times New Roman" w:cs="Times New Roman"/>
                <w:kern w:val="0"/>
                <w:sz w:val="18"/>
                <w:szCs w:val="18"/>
              </w:rPr>
            </w:pPr>
          </w:p>
        </w:tc>
        <w:tc>
          <w:tcPr>
            <w:tcW w:w="863" w:type="pct"/>
            <w:tcBorders>
              <w:top w:val="single" w:color="auto" w:sz="8" w:space="0"/>
              <w:left w:val="nil"/>
              <w:bottom w:val="single" w:color="auto" w:sz="4" w:space="0"/>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SO</w:t>
            </w:r>
            <w:r>
              <w:rPr>
                <w:rFonts w:ascii="Times New Roman" w:hAnsi="Times New Roman" w:cs="Times New Roman"/>
                <w:i/>
                <w:iCs/>
                <w:kern w:val="0"/>
                <w:sz w:val="18"/>
                <w:szCs w:val="18"/>
                <w:vertAlign w:val="subscript"/>
              </w:rPr>
              <w:t>2</w:t>
            </w:r>
          </w:p>
        </w:tc>
        <w:tc>
          <w:tcPr>
            <w:tcW w:w="806" w:type="pct"/>
            <w:tcBorders>
              <w:top w:val="single" w:color="auto" w:sz="8" w:space="0"/>
              <w:left w:val="nil"/>
              <w:bottom w:val="single" w:color="auto" w:sz="4" w:space="0"/>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CO</w:t>
            </w:r>
            <w:r>
              <w:rPr>
                <w:rFonts w:ascii="Times New Roman" w:hAnsi="Times New Roman" w:cs="Times New Roman"/>
                <w:i/>
                <w:iCs/>
                <w:kern w:val="0"/>
                <w:sz w:val="18"/>
                <w:szCs w:val="18"/>
                <w:vertAlign w:val="subscript"/>
              </w:rPr>
              <w:t>2</w:t>
            </w:r>
          </w:p>
        </w:tc>
        <w:tc>
          <w:tcPr>
            <w:tcW w:w="862" w:type="pct"/>
            <w:tcBorders>
              <w:top w:val="single" w:color="auto" w:sz="8" w:space="0"/>
              <w:left w:val="nil"/>
              <w:bottom w:val="single" w:color="auto" w:sz="4" w:space="0"/>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SO</w:t>
            </w:r>
            <w:r>
              <w:rPr>
                <w:rFonts w:ascii="Times New Roman" w:hAnsi="Times New Roman" w:cs="Times New Roman"/>
                <w:i/>
                <w:iCs/>
                <w:kern w:val="0"/>
                <w:sz w:val="18"/>
                <w:szCs w:val="18"/>
                <w:vertAlign w:val="subscript"/>
              </w:rPr>
              <w:t>2</w:t>
            </w:r>
          </w:p>
        </w:tc>
        <w:tc>
          <w:tcPr>
            <w:tcW w:w="862" w:type="pct"/>
            <w:tcBorders>
              <w:top w:val="single" w:color="auto" w:sz="8" w:space="0"/>
              <w:left w:val="nil"/>
              <w:bottom w:val="single" w:color="auto" w:sz="4" w:space="0"/>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CO</w:t>
            </w:r>
            <w:r>
              <w:rPr>
                <w:rFonts w:ascii="Times New Roman" w:hAnsi="Times New Roman" w:cs="Times New Roman"/>
                <w:i/>
                <w:iCs/>
                <w:kern w:val="0"/>
                <w:sz w:val="18"/>
                <w:szCs w:val="18"/>
                <w:vertAlign w:val="subscript"/>
              </w:rPr>
              <w:t>2</w:t>
            </w:r>
          </w:p>
        </w:tc>
      </w:tr>
      <w:tr>
        <w:tblPrEx>
          <w:tblCellMar>
            <w:top w:w="0" w:type="dxa"/>
            <w:left w:w="75" w:type="dxa"/>
            <w:bottom w:w="0" w:type="dxa"/>
            <w:right w:w="75" w:type="dxa"/>
          </w:tblCellMar>
        </w:tblPrEx>
        <w:trPr>
          <w:cantSplit/>
          <w:jc w:val="center"/>
        </w:trPr>
        <w:tc>
          <w:tcPr>
            <w:tcW w:w="1607" w:type="pct"/>
            <w:vMerge w:val="continue"/>
            <w:tcBorders>
              <w:left w:val="nil"/>
              <w:bottom w:val="single" w:color="auto" w:sz="4" w:space="0"/>
              <w:right w:val="nil"/>
            </w:tcBorders>
          </w:tcPr>
          <w:p>
            <w:pPr>
              <w:autoSpaceDE w:val="0"/>
              <w:autoSpaceDN w:val="0"/>
              <w:adjustRightInd w:val="0"/>
              <w:snapToGrid w:val="0"/>
              <w:jc w:val="left"/>
              <w:rPr>
                <w:rFonts w:ascii="Times New Roman" w:hAnsi="Times New Roman" w:cs="Times New Roman"/>
                <w:kern w:val="0"/>
                <w:sz w:val="18"/>
                <w:szCs w:val="18"/>
              </w:rPr>
            </w:pPr>
          </w:p>
        </w:tc>
        <w:tc>
          <w:tcPr>
            <w:tcW w:w="863" w:type="pct"/>
            <w:tcBorders>
              <w:top w:val="single" w:color="auto" w:sz="4" w:space="0"/>
              <w:left w:val="nil"/>
              <w:bottom w:val="single" w:color="auto" w:sz="4" w:space="0"/>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806" w:type="pct"/>
            <w:tcBorders>
              <w:top w:val="single" w:color="auto" w:sz="4" w:space="0"/>
              <w:left w:val="nil"/>
              <w:bottom w:val="single" w:color="auto" w:sz="4" w:space="0"/>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862" w:type="pct"/>
            <w:tcBorders>
              <w:top w:val="single" w:color="auto" w:sz="4" w:space="0"/>
              <w:left w:val="nil"/>
              <w:bottom w:val="single" w:color="auto" w:sz="4" w:space="0"/>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862" w:type="pct"/>
            <w:tcBorders>
              <w:top w:val="single" w:color="auto" w:sz="4" w:space="0"/>
              <w:left w:val="nil"/>
              <w:bottom w:val="single" w:color="auto" w:sz="4" w:space="0"/>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（4）</w:t>
            </w:r>
          </w:p>
        </w:tc>
      </w:tr>
      <w:tr>
        <w:tblPrEx>
          <w:tblCellMar>
            <w:top w:w="0" w:type="dxa"/>
            <w:left w:w="75" w:type="dxa"/>
            <w:bottom w:w="0" w:type="dxa"/>
            <w:right w:w="75" w:type="dxa"/>
          </w:tblCellMar>
        </w:tblPrEx>
        <w:trPr>
          <w:cantSplit/>
          <w:jc w:val="center"/>
        </w:trPr>
        <w:tc>
          <w:tcPr>
            <w:tcW w:w="1607" w:type="pct"/>
            <w:tcBorders>
              <w:top w:val="single" w:color="auto" w:sz="4" w:space="0"/>
              <w:left w:val="nil"/>
              <w:bottom w:val="nil"/>
              <w:right w:val="nil"/>
            </w:tcBorders>
          </w:tcPr>
          <w:p>
            <w:pPr>
              <w:autoSpaceDE w:val="0"/>
              <w:autoSpaceDN w:val="0"/>
              <w:adjustRightInd w:val="0"/>
              <w:snapToGrid w:val="0"/>
              <w:jc w:val="left"/>
              <w:rPr>
                <w:rFonts w:ascii="Times New Roman" w:hAnsi="Times New Roman" w:cs="Times New Roman"/>
                <w:kern w:val="0"/>
                <w:sz w:val="18"/>
                <w:szCs w:val="18"/>
              </w:rPr>
            </w:pPr>
            <w:r>
              <w:rPr>
                <w:rFonts w:ascii="Times New Roman" w:hAnsi="Times New Roman" w:cs="Times New Roman"/>
                <w:i/>
                <w:iCs/>
                <w:kern w:val="0"/>
                <w:sz w:val="18"/>
                <w:szCs w:val="18"/>
              </w:rPr>
              <w:t>cps</w:t>
            </w:r>
            <w:r>
              <w:rPr>
                <w:rFonts w:ascii="Times New Roman" w:hAnsi="Times New Roman" w:cs="Times New Roman"/>
                <w:kern w:val="0"/>
                <w:sz w:val="18"/>
                <w:szCs w:val="18"/>
              </w:rPr>
              <w:t>×</w:t>
            </w:r>
            <w:r>
              <w:rPr>
                <w:rFonts w:ascii="Times New Roman" w:hAnsi="Times New Roman" w:cs="Times New Roman"/>
                <w:i/>
                <w:iCs/>
                <w:kern w:val="0"/>
                <w:sz w:val="18"/>
                <w:szCs w:val="18"/>
              </w:rPr>
              <w:t>pollution50</w:t>
            </w:r>
          </w:p>
        </w:tc>
        <w:tc>
          <w:tcPr>
            <w:tcW w:w="863" w:type="pct"/>
            <w:tcBorders>
              <w:top w:val="single" w:color="auto" w:sz="4" w:space="0"/>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-0.121***</w:t>
            </w:r>
          </w:p>
        </w:tc>
        <w:tc>
          <w:tcPr>
            <w:tcW w:w="806" w:type="pct"/>
            <w:tcBorders>
              <w:top w:val="single" w:color="auto" w:sz="4" w:space="0"/>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-0.077**</w:t>
            </w:r>
          </w:p>
        </w:tc>
        <w:tc>
          <w:tcPr>
            <w:tcW w:w="862" w:type="pct"/>
            <w:tcBorders>
              <w:top w:val="single" w:color="auto" w:sz="4" w:space="0"/>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-0.144***</w:t>
            </w:r>
          </w:p>
        </w:tc>
        <w:tc>
          <w:tcPr>
            <w:tcW w:w="862" w:type="pct"/>
            <w:tcBorders>
              <w:top w:val="single" w:color="auto" w:sz="4" w:space="0"/>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-0.093***</w:t>
            </w:r>
          </w:p>
        </w:tc>
      </w:tr>
      <w:tr>
        <w:tblPrEx>
          <w:tblCellMar>
            <w:top w:w="0" w:type="dxa"/>
            <w:left w:w="75" w:type="dxa"/>
            <w:bottom w:w="0" w:type="dxa"/>
            <w:right w:w="75" w:type="dxa"/>
          </w:tblCellMar>
        </w:tblPrEx>
        <w:trPr>
          <w:cantSplit/>
          <w:jc w:val="center"/>
        </w:trPr>
        <w:tc>
          <w:tcPr>
            <w:tcW w:w="1607"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 w:val="18"/>
                <w:szCs w:val="18"/>
              </w:rPr>
            </w:pPr>
          </w:p>
        </w:tc>
        <w:tc>
          <w:tcPr>
            <w:tcW w:w="863"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(0.045)</w:t>
            </w:r>
          </w:p>
        </w:tc>
        <w:tc>
          <w:tcPr>
            <w:tcW w:w="806"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(0.032)</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(0.045)</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(0.018)</w:t>
            </w:r>
          </w:p>
        </w:tc>
      </w:tr>
      <w:tr>
        <w:tblPrEx>
          <w:tblCellMar>
            <w:top w:w="0" w:type="dxa"/>
            <w:left w:w="75" w:type="dxa"/>
            <w:bottom w:w="0" w:type="dxa"/>
            <w:right w:w="75" w:type="dxa"/>
          </w:tblCellMar>
        </w:tblPrEx>
        <w:trPr>
          <w:cantSplit/>
          <w:jc w:val="center"/>
        </w:trPr>
        <w:tc>
          <w:tcPr>
            <w:tcW w:w="1607"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 w:val="18"/>
                <w:szCs w:val="18"/>
              </w:rPr>
            </w:pPr>
            <w:r>
              <w:rPr>
                <w:rFonts w:ascii="Times New Roman" w:hAnsi="Times New Roman" w:cs="Times New Roman"/>
                <w:i/>
                <w:iCs/>
                <w:kern w:val="0"/>
                <w:sz w:val="18"/>
                <w:szCs w:val="18"/>
              </w:rPr>
              <w:t>cps</w:t>
            </w:r>
            <w:r>
              <w:rPr>
                <w:rFonts w:ascii="Times New Roman" w:hAnsi="Times New Roman" w:cs="Times New Roman"/>
                <w:kern w:val="0"/>
                <w:sz w:val="18"/>
                <w:szCs w:val="18"/>
              </w:rPr>
              <w:t>×ln</w:t>
            </w:r>
            <w:r>
              <w:rPr>
                <w:rFonts w:ascii="Times New Roman" w:hAnsi="Times New Roman" w:cs="Times New Roman"/>
                <w:i/>
                <w:iCs/>
                <w:kern w:val="0"/>
                <w:sz w:val="18"/>
                <w:szCs w:val="18"/>
              </w:rPr>
              <w:t>so2den</w:t>
            </w:r>
          </w:p>
        </w:tc>
        <w:tc>
          <w:tcPr>
            <w:tcW w:w="863"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p>
        </w:tc>
        <w:tc>
          <w:tcPr>
            <w:tcW w:w="806"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-0.160***</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-0.117***</w:t>
            </w:r>
          </w:p>
        </w:tc>
      </w:tr>
      <w:tr>
        <w:tblPrEx>
          <w:tblCellMar>
            <w:top w:w="0" w:type="dxa"/>
            <w:left w:w="75" w:type="dxa"/>
            <w:bottom w:w="0" w:type="dxa"/>
            <w:right w:w="75" w:type="dxa"/>
          </w:tblCellMar>
        </w:tblPrEx>
        <w:trPr>
          <w:cantSplit/>
          <w:jc w:val="center"/>
        </w:trPr>
        <w:tc>
          <w:tcPr>
            <w:tcW w:w="1607"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 w:val="18"/>
                <w:szCs w:val="18"/>
              </w:rPr>
            </w:pPr>
          </w:p>
        </w:tc>
        <w:tc>
          <w:tcPr>
            <w:tcW w:w="863"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p>
        </w:tc>
        <w:tc>
          <w:tcPr>
            <w:tcW w:w="806"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(0.042)</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(0.017)</w:t>
            </w:r>
          </w:p>
        </w:tc>
      </w:tr>
      <w:tr>
        <w:tblPrEx>
          <w:tblCellMar>
            <w:top w:w="0" w:type="dxa"/>
            <w:left w:w="75" w:type="dxa"/>
            <w:bottom w:w="0" w:type="dxa"/>
            <w:right w:w="75" w:type="dxa"/>
          </w:tblCellMar>
        </w:tblPrEx>
        <w:trPr>
          <w:cantSplit/>
          <w:jc w:val="center"/>
        </w:trPr>
        <w:tc>
          <w:tcPr>
            <w:tcW w:w="1607" w:type="pct"/>
            <w:tcBorders>
              <w:top w:val="nil"/>
              <w:left w:val="nil"/>
              <w:bottom w:val="nil"/>
              <w:right w:val="nil"/>
            </w:tcBorders>
          </w:tcPr>
          <w:p>
            <w:pPr>
              <w:autoSpaceDE w:val="0"/>
              <w:autoSpaceDN w:val="0"/>
              <w:adjustRightInd w:val="0"/>
              <w:snapToGrid w:val="0"/>
              <w:jc w:val="left"/>
              <w:rPr>
                <w:rFonts w:ascii="Times New Roman" w:hAnsi="Times New Roman" w:cs="Times New Roman"/>
                <w:i/>
                <w:iCs/>
                <w:kern w:val="0"/>
                <w:sz w:val="18"/>
                <w:szCs w:val="18"/>
              </w:rPr>
            </w:pPr>
            <w:r>
              <w:rPr>
                <w:rFonts w:ascii="Times New Roman" w:hAnsi="Times New Roman" w:cs="Times New Roman"/>
                <w:i/>
                <w:iCs/>
                <w:kern w:val="0"/>
                <w:sz w:val="18"/>
                <w:szCs w:val="18"/>
              </w:rPr>
              <w:t>cps</w:t>
            </w:r>
          </w:p>
        </w:tc>
        <w:tc>
          <w:tcPr>
            <w:tcW w:w="863"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-0.040</w:t>
            </w:r>
          </w:p>
        </w:tc>
        <w:tc>
          <w:tcPr>
            <w:tcW w:w="806"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0.012</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0.121***</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0.044***</w:t>
            </w:r>
          </w:p>
        </w:tc>
      </w:tr>
      <w:tr>
        <w:tblPrEx>
          <w:tblCellMar>
            <w:top w:w="0" w:type="dxa"/>
            <w:left w:w="75" w:type="dxa"/>
            <w:bottom w:w="0" w:type="dxa"/>
            <w:right w:w="75" w:type="dxa"/>
          </w:tblCellMar>
        </w:tblPrEx>
        <w:trPr>
          <w:cantSplit/>
          <w:jc w:val="center"/>
        </w:trPr>
        <w:tc>
          <w:tcPr>
            <w:tcW w:w="1607" w:type="pct"/>
            <w:tcBorders>
              <w:top w:val="nil"/>
              <w:left w:val="nil"/>
              <w:bottom w:val="nil"/>
              <w:right w:val="nil"/>
            </w:tcBorders>
          </w:tcPr>
          <w:p>
            <w:pPr>
              <w:autoSpaceDE w:val="0"/>
              <w:autoSpaceDN w:val="0"/>
              <w:adjustRightInd w:val="0"/>
              <w:snapToGrid w:val="0"/>
              <w:jc w:val="left"/>
              <w:rPr>
                <w:rFonts w:ascii="Times New Roman" w:hAnsi="Times New Roman" w:cs="Times New Roman"/>
                <w:i/>
                <w:iCs/>
                <w:kern w:val="0"/>
                <w:sz w:val="18"/>
                <w:szCs w:val="18"/>
              </w:rPr>
            </w:pPr>
          </w:p>
        </w:tc>
        <w:tc>
          <w:tcPr>
            <w:tcW w:w="863"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(0.038)</w:t>
            </w:r>
          </w:p>
        </w:tc>
        <w:tc>
          <w:tcPr>
            <w:tcW w:w="806"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(0.027)</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(0.029)</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(0.016)</w:t>
            </w:r>
          </w:p>
        </w:tc>
      </w:tr>
      <w:tr>
        <w:tblPrEx>
          <w:tblCellMar>
            <w:top w:w="0" w:type="dxa"/>
            <w:left w:w="75" w:type="dxa"/>
            <w:bottom w:w="0" w:type="dxa"/>
            <w:right w:w="75" w:type="dxa"/>
          </w:tblCellMar>
        </w:tblPrEx>
        <w:trPr>
          <w:cantSplit/>
          <w:jc w:val="center"/>
        </w:trPr>
        <w:tc>
          <w:tcPr>
            <w:tcW w:w="1607" w:type="pct"/>
            <w:tcBorders>
              <w:top w:val="nil"/>
              <w:left w:val="nil"/>
              <w:bottom w:val="nil"/>
              <w:right w:val="nil"/>
            </w:tcBorders>
          </w:tcPr>
          <w:p>
            <w:pPr>
              <w:autoSpaceDE w:val="0"/>
              <w:autoSpaceDN w:val="0"/>
              <w:adjustRightInd w:val="0"/>
              <w:snapToGrid w:val="0"/>
              <w:jc w:val="left"/>
              <w:rPr>
                <w:rFonts w:ascii="Times New Roman" w:hAnsi="Times New Roman" w:cs="Times New Roman"/>
                <w:i/>
                <w:iCs/>
                <w:kern w:val="0"/>
                <w:sz w:val="18"/>
                <w:szCs w:val="18"/>
              </w:rPr>
            </w:pPr>
            <w:r>
              <w:rPr>
                <w:rFonts w:ascii="Times New Roman" w:hAnsi="Times New Roman" w:cs="Times New Roman"/>
                <w:i/>
                <w:iCs/>
                <w:kern w:val="0"/>
                <w:sz w:val="18"/>
                <w:szCs w:val="18"/>
              </w:rPr>
              <w:t>pollution50</w:t>
            </w:r>
          </w:p>
        </w:tc>
        <w:tc>
          <w:tcPr>
            <w:tcW w:w="863"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-0.013</w:t>
            </w:r>
          </w:p>
        </w:tc>
        <w:tc>
          <w:tcPr>
            <w:tcW w:w="806"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0.078***</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p>
        </w:tc>
      </w:tr>
      <w:tr>
        <w:tblPrEx>
          <w:tblCellMar>
            <w:top w:w="0" w:type="dxa"/>
            <w:left w:w="75" w:type="dxa"/>
            <w:bottom w:w="0" w:type="dxa"/>
            <w:right w:w="75" w:type="dxa"/>
          </w:tblCellMar>
        </w:tblPrEx>
        <w:trPr>
          <w:cantSplit/>
          <w:jc w:val="center"/>
        </w:trPr>
        <w:tc>
          <w:tcPr>
            <w:tcW w:w="1607" w:type="pct"/>
            <w:tcBorders>
              <w:top w:val="nil"/>
              <w:left w:val="nil"/>
              <w:bottom w:val="nil"/>
              <w:right w:val="nil"/>
            </w:tcBorders>
          </w:tcPr>
          <w:p>
            <w:pPr>
              <w:autoSpaceDE w:val="0"/>
              <w:autoSpaceDN w:val="0"/>
              <w:adjustRightInd w:val="0"/>
              <w:snapToGrid w:val="0"/>
              <w:jc w:val="left"/>
              <w:rPr>
                <w:rFonts w:ascii="Times New Roman" w:hAnsi="Times New Roman" w:cs="Times New Roman"/>
                <w:i/>
                <w:iCs/>
                <w:kern w:val="0"/>
                <w:sz w:val="18"/>
                <w:szCs w:val="18"/>
              </w:rPr>
            </w:pPr>
          </w:p>
        </w:tc>
        <w:tc>
          <w:tcPr>
            <w:tcW w:w="863"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(0.021)</w:t>
            </w:r>
          </w:p>
        </w:tc>
        <w:tc>
          <w:tcPr>
            <w:tcW w:w="806"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(0.014)</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p>
        </w:tc>
      </w:tr>
      <w:tr>
        <w:tblPrEx>
          <w:tblCellMar>
            <w:top w:w="0" w:type="dxa"/>
            <w:left w:w="75" w:type="dxa"/>
            <w:bottom w:w="0" w:type="dxa"/>
            <w:right w:w="75" w:type="dxa"/>
          </w:tblCellMar>
        </w:tblPrEx>
        <w:trPr>
          <w:cantSplit/>
          <w:jc w:val="center"/>
        </w:trPr>
        <w:tc>
          <w:tcPr>
            <w:tcW w:w="1607" w:type="pct"/>
            <w:tcBorders>
              <w:top w:val="nil"/>
              <w:left w:val="nil"/>
              <w:bottom w:val="nil"/>
              <w:right w:val="nil"/>
            </w:tcBorders>
          </w:tcPr>
          <w:p>
            <w:pPr>
              <w:autoSpaceDE w:val="0"/>
              <w:autoSpaceDN w:val="0"/>
              <w:adjustRightInd w:val="0"/>
              <w:snapToGrid w:val="0"/>
              <w:jc w:val="left"/>
              <w:rPr>
                <w:rFonts w:ascii="Times New Roman" w:hAnsi="Times New Roman" w:cs="Times New Roman"/>
                <w:i/>
                <w:iCs/>
                <w:kern w:val="0"/>
                <w:sz w:val="18"/>
                <w:szCs w:val="18"/>
              </w:rPr>
            </w:pPr>
            <w:r>
              <w:rPr>
                <w:rFonts w:ascii="Times New Roman" w:hAnsi="Times New Roman" w:cs="Times New Roman"/>
                <w:i/>
                <w:iCs/>
                <w:kern w:val="0"/>
                <w:sz w:val="18"/>
                <w:szCs w:val="18"/>
              </w:rPr>
              <w:t>lnso2den</w:t>
            </w:r>
          </w:p>
        </w:tc>
        <w:tc>
          <w:tcPr>
            <w:tcW w:w="863"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p>
        </w:tc>
        <w:tc>
          <w:tcPr>
            <w:tcW w:w="806"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1.903***</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0.585***</w:t>
            </w:r>
          </w:p>
        </w:tc>
      </w:tr>
      <w:tr>
        <w:tblPrEx>
          <w:tblCellMar>
            <w:top w:w="0" w:type="dxa"/>
            <w:left w:w="75" w:type="dxa"/>
            <w:bottom w:w="0" w:type="dxa"/>
            <w:right w:w="75" w:type="dxa"/>
          </w:tblCellMar>
        </w:tblPrEx>
        <w:trPr>
          <w:cantSplit/>
          <w:jc w:val="center"/>
        </w:trPr>
        <w:tc>
          <w:tcPr>
            <w:tcW w:w="1607"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 w:val="18"/>
                <w:szCs w:val="18"/>
              </w:rPr>
            </w:pPr>
          </w:p>
        </w:tc>
        <w:tc>
          <w:tcPr>
            <w:tcW w:w="863"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p>
        </w:tc>
        <w:tc>
          <w:tcPr>
            <w:tcW w:w="806"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(0.020)</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(0.007)</w:t>
            </w:r>
          </w:p>
        </w:tc>
      </w:tr>
      <w:tr>
        <w:tblPrEx>
          <w:tblCellMar>
            <w:top w:w="0" w:type="dxa"/>
            <w:left w:w="75" w:type="dxa"/>
            <w:bottom w:w="0" w:type="dxa"/>
            <w:right w:w="75" w:type="dxa"/>
          </w:tblCellMar>
        </w:tblPrEx>
        <w:trPr>
          <w:cantSplit/>
          <w:jc w:val="center"/>
        </w:trPr>
        <w:tc>
          <w:tcPr>
            <w:tcW w:w="1607" w:type="pct"/>
            <w:tcBorders>
              <w:top w:val="nil"/>
              <w:left w:val="nil"/>
              <w:bottom w:val="nil"/>
              <w:right w:val="nil"/>
            </w:tcBorders>
          </w:tcPr>
          <w:p>
            <w:pPr>
              <w:autoSpaceDE w:val="0"/>
              <w:autoSpaceDN w:val="0"/>
              <w:adjustRightInd w:val="0"/>
              <w:snapToGrid w:val="0"/>
              <w:jc w:val="left"/>
              <w:rPr>
                <w:rFonts w:ascii="Times New Roman" w:hAnsi="Times New Roman" w:cs="Times New Roman"/>
                <w:kern w:val="0"/>
                <w:sz w:val="18"/>
                <w:szCs w:val="18"/>
              </w:rPr>
            </w:pPr>
            <w:r>
              <w:rPr>
                <w:rFonts w:ascii="Times New Roman" w:hAnsi="Times New Roman" w:cs="Times New Roman"/>
                <w:kern w:val="0"/>
                <w:sz w:val="18"/>
                <w:szCs w:val="18"/>
              </w:rPr>
              <w:t>Observations</w:t>
            </w:r>
          </w:p>
        </w:tc>
        <w:tc>
          <w:tcPr>
            <w:tcW w:w="863"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312,966</w:t>
            </w:r>
          </w:p>
        </w:tc>
        <w:tc>
          <w:tcPr>
            <w:tcW w:w="806"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371,658</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317,830</w:t>
            </w:r>
          </w:p>
        </w:tc>
        <w:tc>
          <w:tcPr>
            <w:tcW w:w="862" w:type="pct"/>
            <w:tcBorders>
              <w:top w:val="nil"/>
              <w:left w:val="nil"/>
              <w:bottom w:val="nil"/>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317,685</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cantSplit/>
          <w:jc w:val="center"/>
        </w:trPr>
        <w:tc>
          <w:tcPr>
            <w:tcW w:w="1607" w:type="pct"/>
            <w:tcBorders>
              <w:top w:val="nil"/>
              <w:left w:val="nil"/>
              <w:bottom w:val="single" w:color="auto" w:sz="8" w:space="0"/>
              <w:right w:val="nil"/>
            </w:tcBorders>
          </w:tcPr>
          <w:p>
            <w:pPr>
              <w:autoSpaceDE w:val="0"/>
              <w:autoSpaceDN w:val="0"/>
              <w:adjustRightInd w:val="0"/>
              <w:snapToGrid w:val="0"/>
              <w:jc w:val="left"/>
              <w:rPr>
                <w:rFonts w:ascii="Times New Roman" w:hAnsi="Times New Roman" w:cs="Times New Roman"/>
                <w:kern w:val="0"/>
                <w:sz w:val="18"/>
                <w:szCs w:val="18"/>
              </w:rPr>
            </w:pPr>
            <w:r>
              <w:rPr>
                <w:rFonts w:ascii="Times New Roman" w:hAnsi="Times New Roman" w:cs="Times New Roman"/>
                <w:kern w:val="0"/>
                <w:sz w:val="18"/>
                <w:szCs w:val="18"/>
              </w:rPr>
              <w:t>R-squared</w:t>
            </w:r>
          </w:p>
        </w:tc>
        <w:tc>
          <w:tcPr>
            <w:tcW w:w="863"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0.855</w:t>
            </w:r>
          </w:p>
        </w:tc>
        <w:tc>
          <w:tcPr>
            <w:tcW w:w="806"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0.878</w:t>
            </w:r>
          </w:p>
        </w:tc>
        <w:tc>
          <w:tcPr>
            <w:tcW w:w="862"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0.881</w:t>
            </w:r>
          </w:p>
        </w:tc>
        <w:tc>
          <w:tcPr>
            <w:tcW w:w="862" w:type="pct"/>
            <w:tcBorders>
              <w:top w:val="nil"/>
              <w:left w:val="nil"/>
              <w:bottom w:val="single" w:color="auto" w:sz="8" w:space="0"/>
              <w:right w:val="nil"/>
            </w:tcBorders>
          </w:tcPr>
          <w:p>
            <w:pPr>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0.888</w:t>
            </w:r>
          </w:p>
        </w:tc>
      </w:tr>
    </w:tbl>
    <w:p>
      <w:pPr>
        <w:adjustRightInd w:val="0"/>
        <w:snapToGrid w:val="0"/>
        <w:jc w:val="right"/>
        <w:rPr>
          <w:rFonts w:ascii="Times New Roman" w:hAnsi="Times New Roman" w:eastAsia="仿宋" w:cs="Times New Roman"/>
        </w:rPr>
      </w:pPr>
    </w:p>
    <w:p>
      <w:pPr>
        <w:pStyle w:val="3"/>
        <w:keepNext w:val="0"/>
        <w:keepLines w:val="0"/>
        <w:widowControl/>
        <w:spacing w:before="0" w:after="0"/>
        <w:ind w:firstLine="396" w:firstLineChars="200"/>
        <w:jc w:val="left"/>
        <w:rPr>
          <w:rFonts w:ascii="Times New Roman" w:hAnsi="Times New Roman" w:eastAsia="仿宋" w:cs="Times New Roman"/>
          <w:b/>
          <w:bCs/>
          <w:color w:val="auto"/>
          <w:kern w:val="0"/>
          <w:sz w:val="21"/>
          <w:szCs w:val="21"/>
        </w:rPr>
      </w:pPr>
      <w:bookmarkStart w:id="15" w:name="_Toc160282117"/>
      <w:bookmarkStart w:id="16" w:name="_Toc160281484"/>
      <w:r>
        <w:rPr>
          <w:rFonts w:ascii="Times New Roman" w:hAnsi="Times New Roman" w:eastAsia="仿宋" w:cs="Times New Roman"/>
          <w:b/>
          <w:bCs/>
          <w:color w:val="auto"/>
          <w:kern w:val="0"/>
          <w:sz w:val="21"/>
          <w:szCs w:val="21"/>
        </w:rPr>
        <w:t>2.行业异质性</w:t>
      </w:r>
      <w:bookmarkEnd w:id="15"/>
      <w:bookmarkEnd w:id="16"/>
    </w:p>
    <w:p>
      <w:pPr>
        <w:ind w:firstLine="396" w:firstLineChars="200"/>
        <w:rPr>
          <w:rFonts w:ascii="Times New Roman" w:hAnsi="Times New Roman" w:eastAsia="仿宋" w:cs="Times New Roman"/>
          <w:szCs w:val="21"/>
        </w:rPr>
      </w:pPr>
      <w:r>
        <w:rPr>
          <w:rFonts w:ascii="Times New Roman" w:hAnsi="Times New Roman" w:eastAsia="仿宋" w:cs="Times New Roman"/>
          <w:szCs w:val="21"/>
        </w:rPr>
        <w:t>表</w:t>
      </w:r>
      <w:r>
        <w:rPr>
          <w:rFonts w:hint="eastAsia" w:ascii="Times New Roman" w:hAnsi="Times New Roman" w:eastAsia="仿宋" w:cs="Times New Roman"/>
          <w:szCs w:val="21"/>
        </w:rPr>
        <w:t>II</w:t>
      </w:r>
      <w:r>
        <w:rPr>
          <w:rFonts w:ascii="Times New Roman" w:hAnsi="Times New Roman" w:eastAsia="仿宋" w:cs="Times New Roman"/>
          <w:szCs w:val="21"/>
        </w:rPr>
        <w:t>2报告了行业异质性估计结果。</w:t>
      </w:r>
      <w:r>
        <w:rPr>
          <w:rFonts w:ascii="Times New Roman" w:hAnsi="Times New Roman" w:eastAsia="仿宋" w:cs="Times New Roman"/>
          <w:kern w:val="0"/>
          <w:szCs w:val="21"/>
        </w:rPr>
        <w:t>本文</w:t>
      </w:r>
      <w:r>
        <w:rPr>
          <w:rFonts w:ascii="Times New Roman" w:hAnsi="Times New Roman" w:eastAsia="仿宋" w:cs="Times New Roman"/>
          <w:szCs w:val="21"/>
        </w:rPr>
        <w:t>关注的核心是系数</w:t>
      </w:r>
      <w:r>
        <w:rPr>
          <w:rFonts w:ascii="Times New Roman" w:hAnsi="Times New Roman" w:eastAsia="仿宋" w:cs="Times New Roman"/>
          <w:i/>
          <w:iCs/>
          <w:szCs w:val="21"/>
        </w:rPr>
        <w:t>β</w:t>
      </w:r>
      <w:r>
        <w:rPr>
          <w:rFonts w:ascii="Times New Roman" w:hAnsi="Times New Roman" w:eastAsia="仿宋" w:cs="Times New Roman"/>
          <w:i/>
          <w:iCs/>
          <w:szCs w:val="21"/>
          <w:vertAlign w:val="subscript"/>
        </w:rPr>
        <w:t>1</w:t>
      </w:r>
      <w:r>
        <w:rPr>
          <w:rFonts w:ascii="Times New Roman" w:hAnsi="Times New Roman" w:eastAsia="仿宋" w:cs="Times New Roman"/>
          <w:szCs w:val="21"/>
        </w:rPr>
        <w:t>和α</w:t>
      </w:r>
      <w:r>
        <w:rPr>
          <w:rFonts w:ascii="Times New Roman" w:hAnsi="Times New Roman" w:eastAsia="仿宋" w:cs="Times New Roman"/>
          <w:szCs w:val="21"/>
          <w:vertAlign w:val="subscript"/>
        </w:rPr>
        <w:t>1</w:t>
      </w:r>
      <w:r>
        <w:rPr>
          <w:rFonts w:ascii="Times New Roman" w:hAnsi="Times New Roman" w:eastAsia="仿宋" w:cs="Times New Roman"/>
          <w:szCs w:val="21"/>
        </w:rPr>
        <w:t>，存在四种情况（情形I：</w:t>
      </w:r>
      <w:r>
        <w:rPr>
          <w:rFonts w:ascii="Times New Roman" w:hAnsi="Times New Roman" w:eastAsia="仿宋" w:cs="Times New Roman"/>
          <w:i/>
          <w:iCs/>
          <w:szCs w:val="21"/>
        </w:rPr>
        <w:t>β</w:t>
      </w:r>
      <w:r>
        <w:rPr>
          <w:rFonts w:ascii="Times New Roman" w:hAnsi="Times New Roman" w:eastAsia="仿宋" w:cs="Times New Roman"/>
          <w:i/>
          <w:iCs/>
          <w:szCs w:val="21"/>
          <w:vertAlign w:val="subscript"/>
        </w:rPr>
        <w:t>1</w:t>
      </w:r>
      <w:r>
        <w:rPr>
          <w:rFonts w:ascii="Times New Roman" w:hAnsi="Times New Roman" w:eastAsia="仿宋" w:cs="Times New Roman"/>
          <w:i/>
          <w:iCs/>
          <w:szCs w:val="21"/>
        </w:rPr>
        <w:t>＞0，α</w:t>
      </w:r>
      <w:r>
        <w:rPr>
          <w:rFonts w:ascii="Times New Roman" w:hAnsi="Times New Roman" w:eastAsia="仿宋" w:cs="Times New Roman"/>
          <w:i/>
          <w:iCs/>
          <w:szCs w:val="21"/>
          <w:vertAlign w:val="subscript"/>
        </w:rPr>
        <w:t>1</w:t>
      </w:r>
      <w:r>
        <w:rPr>
          <w:rFonts w:ascii="Times New Roman" w:hAnsi="Times New Roman" w:eastAsia="仿宋" w:cs="Times New Roman"/>
          <w:i/>
          <w:iCs/>
          <w:szCs w:val="21"/>
        </w:rPr>
        <w:t>＞0</w:t>
      </w:r>
      <w:r>
        <w:rPr>
          <w:rFonts w:ascii="Times New Roman" w:hAnsi="Times New Roman" w:eastAsia="仿宋" w:cs="Times New Roman"/>
          <w:szCs w:val="21"/>
        </w:rPr>
        <w:t>；情形II：</w:t>
      </w:r>
      <w:r>
        <w:rPr>
          <w:rFonts w:ascii="Times New Roman" w:hAnsi="Times New Roman" w:eastAsia="仿宋" w:cs="Times New Roman"/>
          <w:i/>
          <w:iCs/>
          <w:szCs w:val="21"/>
        </w:rPr>
        <w:t>β</w:t>
      </w:r>
      <w:r>
        <w:rPr>
          <w:rFonts w:ascii="Times New Roman" w:hAnsi="Times New Roman" w:eastAsia="仿宋" w:cs="Times New Roman"/>
          <w:i/>
          <w:iCs/>
          <w:szCs w:val="21"/>
          <w:vertAlign w:val="subscript"/>
        </w:rPr>
        <w:t>1</w:t>
      </w:r>
      <w:r>
        <w:rPr>
          <w:rFonts w:ascii="Times New Roman" w:hAnsi="Times New Roman" w:eastAsia="仿宋" w:cs="Times New Roman"/>
          <w:i/>
          <w:iCs/>
          <w:szCs w:val="21"/>
        </w:rPr>
        <w:t>＜0，α</w:t>
      </w:r>
      <w:r>
        <w:rPr>
          <w:rFonts w:ascii="Times New Roman" w:hAnsi="Times New Roman" w:eastAsia="仿宋" w:cs="Times New Roman"/>
          <w:i/>
          <w:iCs/>
          <w:szCs w:val="21"/>
          <w:vertAlign w:val="subscript"/>
        </w:rPr>
        <w:t>1</w:t>
      </w:r>
      <w:r>
        <w:rPr>
          <w:rFonts w:ascii="Times New Roman" w:hAnsi="Times New Roman" w:eastAsia="仿宋" w:cs="Times New Roman"/>
          <w:i/>
          <w:iCs/>
          <w:szCs w:val="21"/>
        </w:rPr>
        <w:t>＞0</w:t>
      </w:r>
      <w:r>
        <w:rPr>
          <w:rFonts w:ascii="Times New Roman" w:hAnsi="Times New Roman" w:eastAsia="仿宋" w:cs="Times New Roman"/>
          <w:szCs w:val="21"/>
        </w:rPr>
        <w:t>；情形III：</w:t>
      </w:r>
      <w:r>
        <w:rPr>
          <w:rFonts w:ascii="Times New Roman" w:hAnsi="Times New Roman" w:eastAsia="仿宋" w:cs="Times New Roman"/>
          <w:i/>
          <w:iCs/>
          <w:szCs w:val="21"/>
        </w:rPr>
        <w:t>β</w:t>
      </w:r>
      <w:r>
        <w:rPr>
          <w:rFonts w:ascii="Times New Roman" w:hAnsi="Times New Roman" w:eastAsia="仿宋" w:cs="Times New Roman"/>
          <w:i/>
          <w:iCs/>
          <w:szCs w:val="21"/>
          <w:vertAlign w:val="subscript"/>
        </w:rPr>
        <w:t>1</w:t>
      </w:r>
      <w:r>
        <w:rPr>
          <w:rFonts w:ascii="Times New Roman" w:hAnsi="Times New Roman" w:eastAsia="仿宋" w:cs="Times New Roman"/>
          <w:i/>
          <w:iCs/>
          <w:szCs w:val="21"/>
        </w:rPr>
        <w:t>＜0，α</w:t>
      </w:r>
      <w:r>
        <w:rPr>
          <w:rFonts w:ascii="Times New Roman" w:hAnsi="Times New Roman" w:eastAsia="仿宋" w:cs="Times New Roman"/>
          <w:i/>
          <w:iCs/>
          <w:szCs w:val="21"/>
          <w:vertAlign w:val="subscript"/>
        </w:rPr>
        <w:t>1</w:t>
      </w:r>
      <w:r>
        <w:rPr>
          <w:rFonts w:ascii="Times New Roman" w:hAnsi="Times New Roman" w:eastAsia="仿宋" w:cs="Times New Roman"/>
          <w:i/>
          <w:iCs/>
          <w:szCs w:val="21"/>
        </w:rPr>
        <w:t>＜0</w:t>
      </w:r>
      <w:r>
        <w:rPr>
          <w:rFonts w:ascii="Times New Roman" w:hAnsi="Times New Roman" w:eastAsia="仿宋" w:cs="Times New Roman"/>
          <w:szCs w:val="21"/>
        </w:rPr>
        <w:t>；情形IV：</w:t>
      </w:r>
      <w:r>
        <w:rPr>
          <w:rFonts w:ascii="Times New Roman" w:hAnsi="Times New Roman" w:eastAsia="仿宋" w:cs="Times New Roman"/>
          <w:i/>
          <w:iCs/>
          <w:szCs w:val="21"/>
        </w:rPr>
        <w:t>β</w:t>
      </w:r>
      <w:r>
        <w:rPr>
          <w:rFonts w:ascii="Times New Roman" w:hAnsi="Times New Roman" w:eastAsia="仿宋" w:cs="Times New Roman"/>
          <w:i/>
          <w:iCs/>
          <w:szCs w:val="21"/>
          <w:vertAlign w:val="subscript"/>
        </w:rPr>
        <w:t>1</w:t>
      </w:r>
      <w:r>
        <w:rPr>
          <w:rFonts w:ascii="Times New Roman" w:hAnsi="Times New Roman" w:eastAsia="仿宋" w:cs="Times New Roman"/>
          <w:i/>
          <w:iCs/>
          <w:szCs w:val="21"/>
        </w:rPr>
        <w:t>＞0，α</w:t>
      </w:r>
      <w:r>
        <w:rPr>
          <w:rFonts w:ascii="Times New Roman" w:hAnsi="Times New Roman" w:eastAsia="仿宋" w:cs="Times New Roman"/>
          <w:i/>
          <w:iCs/>
          <w:szCs w:val="21"/>
          <w:vertAlign w:val="subscript"/>
        </w:rPr>
        <w:t>1</w:t>
      </w:r>
      <w:r>
        <w:rPr>
          <w:rFonts w:ascii="Times New Roman" w:hAnsi="Times New Roman" w:eastAsia="仿宋" w:cs="Times New Roman"/>
          <w:i/>
          <w:iCs/>
          <w:szCs w:val="21"/>
        </w:rPr>
        <w:t>＜0</w:t>
      </w:r>
      <w:r>
        <w:rPr>
          <w:rFonts w:ascii="Times New Roman" w:hAnsi="Times New Roman" w:eastAsia="仿宋" w:cs="Times New Roman"/>
          <w:szCs w:val="21"/>
        </w:rPr>
        <w:t>）。符合情形I的二位数行业为19、25、28和33，减污和降碳效应都不存在。符合情形II的行业有15、26、34、40，仅行业15降碳效应显著。符合情形III的行业有13、14、16、20、22、31、32和39，实现了减污降碳协同控制，但显著性有差异。符合情形IV的有行业17和36，仅行业17降碳效应显著。综上可知，生态环境部出台实施的清洁生产标准效果突出，促进了大多数行业实现减污降碳协同控制，以及促进部分行业实现减污或降碳，仅有少数行业减污降碳效应都不存在。这一结论为推动重点行业强制性清洁生产审核提供了政策指引，需加强对情形I中有关行业的清洁生产审核力度，完善“一行一策”。其他情形中，应适时推进四位数行业清洁生产标准扩围，推进探索清洁生产审核分类管理模式。</w:t>
      </w:r>
    </w:p>
    <w:p>
      <w:pPr>
        <w:rPr>
          <w:rFonts w:ascii="Times New Roman" w:hAnsi="Times New Roman" w:eastAsia="仿宋" w:cs="Times New Roman"/>
          <w:sz w:val="15"/>
          <w:szCs w:val="15"/>
        </w:rPr>
        <w:sectPr>
          <w:footerReference r:id="rId5" w:type="default"/>
          <w:footnotePr>
            <w:numFmt w:val="decimalEnclosedCircleChinese"/>
            <w:numRestart w:val="eachPage"/>
          </w:footnotePr>
          <w:endnotePr>
            <w:numFmt w:val="decimalEnclosedCircleChinese"/>
          </w:endnotePr>
          <w:pgSz w:w="11906" w:h="16838"/>
          <w:pgMar w:top="1440" w:right="1797" w:bottom="1440" w:left="1797" w:header="851" w:footer="992" w:gutter="0"/>
          <w:pgNumType w:start="1"/>
          <w:cols w:space="425" w:num="1"/>
          <w:docGrid w:type="linesAndChars" w:linePitch="357" w:charSpace="-2478"/>
        </w:sectPr>
      </w:pPr>
    </w:p>
    <w:p>
      <w:pPr>
        <w:adjustRightInd w:val="0"/>
        <w:snapToGrid w:val="0"/>
        <w:rPr>
          <w:rFonts w:ascii="Times New Roman" w:hAnsi="Times New Roman" w:eastAsia="仿宋" w:cs="Times New Roman"/>
          <w:sz w:val="15"/>
          <w:szCs w:val="15"/>
          <w:shd w:val="clear" w:color="auto" w:fill="FFFFFF"/>
        </w:rPr>
      </w:pPr>
    </w:p>
    <w:p>
      <w:pPr>
        <w:snapToGrid w:val="0"/>
        <w:ind w:firstLine="336" w:firstLineChars="200"/>
        <w:jc w:val="center"/>
        <w:rPr>
          <w:rFonts w:hint="eastAsia" w:ascii="黑体" w:hAnsi="黑体" w:eastAsia="黑体" w:cs="黑体"/>
          <w:sz w:val="18"/>
          <w:szCs w:val="18"/>
        </w:rPr>
      </w:pPr>
      <w:r>
        <w:rPr>
          <w:rFonts w:hint="eastAsia" w:ascii="黑体" w:hAnsi="黑体" w:eastAsia="黑体" w:cs="黑体"/>
          <w:sz w:val="18"/>
          <w:szCs w:val="18"/>
        </w:rPr>
        <w:t>表II2 行业异质性</w:t>
      </w:r>
    </w:p>
    <w:tbl>
      <w:tblPr>
        <w:tblStyle w:val="24"/>
        <w:tblW w:w="6000" w:type="pct"/>
        <w:jc w:val="center"/>
        <w:tblLayout w:type="autofit"/>
        <w:tblCellMar>
          <w:top w:w="0" w:type="dxa"/>
          <w:left w:w="75" w:type="dxa"/>
          <w:bottom w:w="0" w:type="dxa"/>
          <w:right w:w="75" w:type="dxa"/>
        </w:tblCellMar>
      </w:tblPr>
      <w:tblGrid>
        <w:gridCol w:w="1238"/>
        <w:gridCol w:w="835"/>
        <w:gridCol w:w="937"/>
        <w:gridCol w:w="840"/>
        <w:gridCol w:w="938"/>
        <w:gridCol w:w="938"/>
        <w:gridCol w:w="840"/>
        <w:gridCol w:w="840"/>
        <w:gridCol w:w="840"/>
        <w:gridCol w:w="938"/>
        <w:gridCol w:w="840"/>
        <w:gridCol w:w="840"/>
        <w:gridCol w:w="938"/>
        <w:gridCol w:w="840"/>
        <w:gridCol w:w="938"/>
        <w:gridCol w:w="840"/>
        <w:gridCol w:w="840"/>
        <w:gridCol w:w="840"/>
        <w:gridCol w:w="830"/>
      </w:tblGrid>
      <w:tr>
        <w:tblPrEx>
          <w:tblCellMar>
            <w:top w:w="0" w:type="dxa"/>
            <w:left w:w="75" w:type="dxa"/>
            <w:bottom w:w="0" w:type="dxa"/>
            <w:right w:w="75" w:type="dxa"/>
          </w:tblCellMar>
        </w:tblPrEx>
        <w:trPr>
          <w:cantSplit/>
          <w:jc w:val="center"/>
        </w:trPr>
        <w:tc>
          <w:tcPr>
            <w:tcW w:w="5000" w:type="pct"/>
            <w:gridSpan w:val="19"/>
            <w:tcBorders>
              <w:top w:val="single" w:color="auto" w:sz="6" w:space="0"/>
              <w:left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Panel A</w:t>
            </w:r>
          </w:p>
        </w:tc>
      </w:tr>
      <w:tr>
        <w:tblPrEx>
          <w:tblCellMar>
            <w:top w:w="0" w:type="dxa"/>
            <w:left w:w="75" w:type="dxa"/>
            <w:bottom w:w="0" w:type="dxa"/>
            <w:right w:w="75" w:type="dxa"/>
          </w:tblCellMar>
        </w:tblPrEx>
        <w:trPr>
          <w:cantSplit/>
          <w:jc w:val="center"/>
        </w:trPr>
        <w:tc>
          <w:tcPr>
            <w:tcW w:w="366" w:type="pct"/>
            <w:vMerge w:val="restart"/>
            <w:tcBorders>
              <w:top w:val="single" w:color="auto" w:sz="6" w:space="0"/>
              <w:left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变量/行业</w:t>
            </w:r>
          </w:p>
        </w:tc>
        <w:tc>
          <w:tcPr>
            <w:tcW w:w="247"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277"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248"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c>
          <w:tcPr>
            <w:tcW w:w="277"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w:t>
            </w:r>
          </w:p>
        </w:tc>
        <w:tc>
          <w:tcPr>
            <w:tcW w:w="277"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w:t>
            </w:r>
          </w:p>
        </w:tc>
        <w:tc>
          <w:tcPr>
            <w:tcW w:w="248"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(6)</w:t>
            </w:r>
          </w:p>
        </w:tc>
        <w:tc>
          <w:tcPr>
            <w:tcW w:w="248"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(7)</w:t>
            </w:r>
          </w:p>
        </w:tc>
        <w:tc>
          <w:tcPr>
            <w:tcW w:w="248"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(8)</w:t>
            </w:r>
          </w:p>
        </w:tc>
        <w:tc>
          <w:tcPr>
            <w:tcW w:w="277"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(9)</w:t>
            </w:r>
          </w:p>
        </w:tc>
        <w:tc>
          <w:tcPr>
            <w:tcW w:w="248"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(11)</w:t>
            </w:r>
          </w:p>
        </w:tc>
        <w:tc>
          <w:tcPr>
            <w:tcW w:w="248"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(10)</w:t>
            </w:r>
          </w:p>
        </w:tc>
        <w:tc>
          <w:tcPr>
            <w:tcW w:w="277"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(12)</w:t>
            </w:r>
          </w:p>
        </w:tc>
        <w:tc>
          <w:tcPr>
            <w:tcW w:w="248"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(13)</w:t>
            </w:r>
          </w:p>
        </w:tc>
        <w:tc>
          <w:tcPr>
            <w:tcW w:w="277"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(14)</w:t>
            </w:r>
          </w:p>
        </w:tc>
        <w:tc>
          <w:tcPr>
            <w:tcW w:w="248"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(15)</w:t>
            </w:r>
          </w:p>
        </w:tc>
        <w:tc>
          <w:tcPr>
            <w:tcW w:w="248"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(16)</w:t>
            </w:r>
          </w:p>
        </w:tc>
        <w:tc>
          <w:tcPr>
            <w:tcW w:w="248"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(17)</w:t>
            </w:r>
          </w:p>
        </w:tc>
        <w:tc>
          <w:tcPr>
            <w:tcW w:w="245" w:type="pct"/>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(18)</w:t>
            </w:r>
          </w:p>
        </w:tc>
      </w:tr>
      <w:tr>
        <w:tblPrEx>
          <w:tblCellMar>
            <w:top w:w="0" w:type="dxa"/>
            <w:left w:w="75" w:type="dxa"/>
            <w:bottom w:w="0" w:type="dxa"/>
            <w:right w:w="75" w:type="dxa"/>
          </w:tblCellMar>
        </w:tblPrEx>
        <w:trPr>
          <w:cantSplit/>
          <w:jc w:val="center"/>
        </w:trPr>
        <w:tc>
          <w:tcPr>
            <w:tcW w:w="366" w:type="pct"/>
            <w:vMerge w:val="continue"/>
            <w:tcBorders>
              <w:left w:val="nil"/>
              <w:right w:val="nil"/>
            </w:tcBorders>
          </w:tcPr>
          <w:p>
            <w:pPr>
              <w:autoSpaceDE w:val="0"/>
              <w:autoSpaceDN w:val="0"/>
              <w:adjustRightInd w:val="0"/>
              <w:snapToGrid w:val="0"/>
              <w:jc w:val="left"/>
              <w:rPr>
                <w:rFonts w:ascii="Times New Roman" w:hAnsi="Times New Roman" w:eastAsia="仿宋" w:cs="Times New Roman"/>
                <w:kern w:val="0"/>
                <w:sz w:val="18"/>
                <w:szCs w:val="18"/>
              </w:rPr>
            </w:pPr>
          </w:p>
        </w:tc>
        <w:tc>
          <w:tcPr>
            <w:tcW w:w="24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13</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14</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15</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16</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17</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19</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20</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22</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26</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28</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31</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32</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33</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34</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36</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39</w:t>
            </w:r>
          </w:p>
        </w:tc>
        <w:tc>
          <w:tcPr>
            <w:tcW w:w="24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40</w:t>
            </w:r>
          </w:p>
        </w:tc>
      </w:tr>
      <w:tr>
        <w:tblPrEx>
          <w:tblCellMar>
            <w:top w:w="0" w:type="dxa"/>
            <w:left w:w="75" w:type="dxa"/>
            <w:bottom w:w="0" w:type="dxa"/>
            <w:right w:w="75" w:type="dxa"/>
          </w:tblCellMar>
        </w:tblPrEx>
        <w:trPr>
          <w:cantSplit/>
          <w:jc w:val="center"/>
        </w:trPr>
        <w:tc>
          <w:tcPr>
            <w:tcW w:w="366" w:type="pct"/>
            <w:vMerge w:val="continue"/>
            <w:tcBorders>
              <w:left w:val="nil"/>
              <w:bottom w:val="single" w:color="auto" w:sz="6" w:space="0"/>
              <w:right w:val="nil"/>
            </w:tcBorders>
          </w:tcPr>
          <w:p>
            <w:pPr>
              <w:autoSpaceDE w:val="0"/>
              <w:autoSpaceDN w:val="0"/>
              <w:adjustRightInd w:val="0"/>
              <w:snapToGrid w:val="0"/>
              <w:jc w:val="left"/>
              <w:rPr>
                <w:rFonts w:ascii="Times New Roman" w:hAnsi="Times New Roman" w:eastAsia="仿宋" w:cs="Times New Roman"/>
                <w:kern w:val="0"/>
                <w:sz w:val="18"/>
                <w:szCs w:val="18"/>
              </w:rPr>
            </w:pPr>
          </w:p>
        </w:tc>
        <w:tc>
          <w:tcPr>
            <w:tcW w:w="24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7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7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7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7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7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7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c>
          <w:tcPr>
            <w:tcW w:w="245"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ln</w:t>
            </w:r>
            <w:r>
              <w:rPr>
                <w:rFonts w:ascii="Times New Roman" w:hAnsi="Times New Roman" w:eastAsia="仿宋" w:cs="Times New Roman"/>
                <w:i/>
                <w:iCs/>
                <w:kern w:val="0"/>
                <w:sz w:val="18"/>
                <w:szCs w:val="18"/>
              </w:rPr>
              <w:t>SO</w:t>
            </w:r>
            <w:r>
              <w:rPr>
                <w:rFonts w:ascii="Times New Roman" w:hAnsi="Times New Roman" w:eastAsia="仿宋" w:cs="Times New Roman"/>
                <w:i/>
                <w:iCs/>
                <w:kern w:val="0"/>
                <w:sz w:val="18"/>
                <w:szCs w:val="18"/>
                <w:vertAlign w:val="subscript"/>
              </w:rPr>
              <w:t>2</w:t>
            </w:r>
          </w:p>
        </w:tc>
      </w:tr>
      <w:tr>
        <w:tblPrEx>
          <w:tblCellMar>
            <w:top w:w="0" w:type="dxa"/>
            <w:left w:w="75" w:type="dxa"/>
            <w:bottom w:w="0" w:type="dxa"/>
            <w:right w:w="75" w:type="dxa"/>
          </w:tblCellMar>
        </w:tblPrEx>
        <w:trPr>
          <w:cantSplit/>
          <w:jc w:val="center"/>
        </w:trPr>
        <w:tc>
          <w:tcPr>
            <w:tcW w:w="366"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i/>
                <w:iCs/>
                <w:kern w:val="0"/>
                <w:sz w:val="18"/>
                <w:szCs w:val="18"/>
              </w:rPr>
            </w:pPr>
            <w:r>
              <w:rPr>
                <w:rFonts w:ascii="Times New Roman" w:hAnsi="Times New Roman" w:eastAsia="仿宋" w:cs="Times New Roman"/>
                <w:i/>
                <w:iCs/>
                <w:kern w:val="0"/>
                <w:sz w:val="18"/>
                <w:szCs w:val="18"/>
              </w:rPr>
              <w:t>cps</w:t>
            </w:r>
          </w:p>
        </w:tc>
        <w:tc>
          <w:tcPr>
            <w:tcW w:w="24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-0.166*</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-0.314***</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0.062</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-0.670***</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-0.268***</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0.166</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-0.414**</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-0.187</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0.765***</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0.031</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0.287</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-0.426***</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-0.033</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0.371***</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0.119</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-0.329</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-0.352</w:t>
            </w:r>
          </w:p>
        </w:tc>
        <w:tc>
          <w:tcPr>
            <w:tcW w:w="24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0.023</w:t>
            </w:r>
          </w:p>
        </w:tc>
      </w:tr>
      <w:tr>
        <w:tblPrEx>
          <w:tblCellMar>
            <w:top w:w="0" w:type="dxa"/>
            <w:left w:w="75" w:type="dxa"/>
            <w:bottom w:w="0" w:type="dxa"/>
            <w:right w:w="75" w:type="dxa"/>
          </w:tblCellMar>
        </w:tblPrEx>
        <w:trPr>
          <w:cantSplit/>
          <w:jc w:val="center"/>
        </w:trPr>
        <w:tc>
          <w:tcPr>
            <w:tcW w:w="366"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i/>
                <w:iCs/>
                <w:kern w:val="0"/>
                <w:sz w:val="18"/>
                <w:szCs w:val="18"/>
              </w:rPr>
            </w:pPr>
          </w:p>
        </w:tc>
        <w:tc>
          <w:tcPr>
            <w:tcW w:w="24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(0.095)</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(0.117)</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(0.076)</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(0.230)</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(0.051)</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(0.123)</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(0.208)</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(0.195)</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(0.179)</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(0.068)</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(0.211)</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(0.049)</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(0.073)</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(0.115)</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(0.168)</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(0.705)</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(0.415)</w:t>
            </w:r>
          </w:p>
        </w:tc>
        <w:tc>
          <w:tcPr>
            <w:tcW w:w="24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(0.260)</w:t>
            </w:r>
          </w:p>
        </w:tc>
      </w:tr>
      <w:tr>
        <w:tblPrEx>
          <w:tblCellMar>
            <w:top w:w="0" w:type="dxa"/>
            <w:left w:w="75" w:type="dxa"/>
            <w:bottom w:w="0" w:type="dxa"/>
            <w:right w:w="75" w:type="dxa"/>
          </w:tblCellMar>
        </w:tblPrEx>
        <w:trPr>
          <w:cantSplit/>
          <w:jc w:val="center"/>
        </w:trPr>
        <w:tc>
          <w:tcPr>
            <w:tcW w:w="366"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控制变量</w:t>
            </w:r>
          </w:p>
        </w:tc>
        <w:tc>
          <w:tcPr>
            <w:tcW w:w="24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r>
      <w:tr>
        <w:tblPrEx>
          <w:tblCellMar>
            <w:top w:w="0" w:type="dxa"/>
            <w:left w:w="75" w:type="dxa"/>
            <w:bottom w:w="0" w:type="dxa"/>
            <w:right w:w="75" w:type="dxa"/>
          </w:tblCellMar>
        </w:tblPrEx>
        <w:trPr>
          <w:cantSplit/>
          <w:jc w:val="center"/>
        </w:trPr>
        <w:tc>
          <w:tcPr>
            <w:tcW w:w="366"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企业固定效应</w:t>
            </w:r>
          </w:p>
        </w:tc>
        <w:tc>
          <w:tcPr>
            <w:tcW w:w="24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r>
      <w:tr>
        <w:tblPrEx>
          <w:tblCellMar>
            <w:top w:w="0" w:type="dxa"/>
            <w:left w:w="75" w:type="dxa"/>
            <w:bottom w:w="0" w:type="dxa"/>
            <w:right w:w="75" w:type="dxa"/>
          </w:tblCellMar>
        </w:tblPrEx>
        <w:trPr>
          <w:cantSplit/>
          <w:jc w:val="center"/>
        </w:trPr>
        <w:tc>
          <w:tcPr>
            <w:tcW w:w="366"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城市-年份固定效应</w:t>
            </w:r>
          </w:p>
        </w:tc>
        <w:tc>
          <w:tcPr>
            <w:tcW w:w="24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c>
          <w:tcPr>
            <w:tcW w:w="24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有</w:t>
            </w:r>
          </w:p>
        </w:tc>
      </w:tr>
      <w:tr>
        <w:tblPrEx>
          <w:tblCellMar>
            <w:top w:w="0" w:type="dxa"/>
            <w:left w:w="75" w:type="dxa"/>
            <w:bottom w:w="0" w:type="dxa"/>
            <w:right w:w="75" w:type="dxa"/>
          </w:tblCellMar>
        </w:tblPrEx>
        <w:trPr>
          <w:cantSplit/>
          <w:jc w:val="center"/>
        </w:trPr>
        <w:tc>
          <w:tcPr>
            <w:tcW w:w="366" w:type="pct"/>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Observations</w:t>
            </w:r>
          </w:p>
        </w:tc>
        <w:tc>
          <w:tcPr>
            <w:tcW w:w="24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256,886</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252,476</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251,872</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250,729</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260,129</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252,241</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251,163</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250,286</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255,003</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260,262</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251,141</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281,760</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251,751</w:t>
            </w:r>
          </w:p>
        </w:tc>
        <w:tc>
          <w:tcPr>
            <w:tcW w:w="277"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250,647</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250,161</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249,894</w:t>
            </w:r>
          </w:p>
        </w:tc>
        <w:tc>
          <w:tcPr>
            <w:tcW w:w="248"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249,933</w:t>
            </w:r>
          </w:p>
        </w:tc>
        <w:tc>
          <w:tcPr>
            <w:tcW w:w="245" w:type="pct"/>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250,005</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cantSplit/>
          <w:jc w:val="center"/>
        </w:trPr>
        <w:tc>
          <w:tcPr>
            <w:tcW w:w="366" w:type="pct"/>
            <w:tcBorders>
              <w:top w:val="nil"/>
              <w:left w:val="nil"/>
              <w:bottom w:val="single" w:color="auto" w:sz="6" w:space="0"/>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R-squared</w:t>
            </w:r>
          </w:p>
        </w:tc>
        <w:tc>
          <w:tcPr>
            <w:tcW w:w="24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0.857</w:t>
            </w:r>
          </w:p>
        </w:tc>
        <w:tc>
          <w:tcPr>
            <w:tcW w:w="27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7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7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0.857</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7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7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0.856</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77"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48"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c>
          <w:tcPr>
            <w:tcW w:w="245" w:type="pct"/>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0.858</w:t>
            </w:r>
          </w:p>
        </w:tc>
      </w:tr>
    </w:tbl>
    <w:p>
      <w:pPr>
        <w:jc w:val="center"/>
        <w:rPr>
          <w:rFonts w:ascii="Times New Roman" w:hAnsi="Times New Roman" w:cs="Times New Roman"/>
          <w:sz w:val="20"/>
          <w:szCs w:val="21"/>
        </w:rPr>
      </w:pPr>
      <w:r>
        <w:rPr>
          <w:rFonts w:ascii="Times New Roman" w:hAnsi="Times New Roman" w:eastAsia="仿宋" w:cs="Times New Roman"/>
          <w:kern w:val="0"/>
          <w:sz w:val="18"/>
          <w:szCs w:val="18"/>
        </w:rPr>
        <w:t>Panel B</w:t>
      </w:r>
    </w:p>
    <w:tbl>
      <w:tblPr>
        <w:tblStyle w:val="24"/>
        <w:tblW w:w="5992" w:type="pct"/>
        <w:jc w:val="center"/>
        <w:tblLayout w:type="autofit"/>
        <w:tblCellMar>
          <w:top w:w="0" w:type="dxa"/>
          <w:left w:w="75" w:type="dxa"/>
          <w:bottom w:w="0" w:type="dxa"/>
          <w:right w:w="75" w:type="dxa"/>
        </w:tblCellMar>
      </w:tblPr>
      <w:tblGrid>
        <w:gridCol w:w="1455"/>
        <w:gridCol w:w="825"/>
        <w:gridCol w:w="891"/>
        <w:gridCol w:w="891"/>
        <w:gridCol w:w="825"/>
        <w:gridCol w:w="825"/>
        <w:gridCol w:w="825"/>
        <w:gridCol w:w="891"/>
        <w:gridCol w:w="825"/>
        <w:gridCol w:w="825"/>
        <w:gridCol w:w="825"/>
        <w:gridCol w:w="825"/>
        <w:gridCol w:w="994"/>
        <w:gridCol w:w="891"/>
        <w:gridCol w:w="825"/>
        <w:gridCol w:w="825"/>
        <w:gridCol w:w="825"/>
        <w:gridCol w:w="994"/>
        <w:gridCol w:w="825"/>
      </w:tblGrid>
      <w:tr>
        <w:tblPrEx>
          <w:tblCellMar>
            <w:top w:w="0" w:type="dxa"/>
            <w:left w:w="75" w:type="dxa"/>
            <w:bottom w:w="0" w:type="dxa"/>
            <w:right w:w="75" w:type="dxa"/>
          </w:tblCellMar>
        </w:tblPrEx>
        <w:trPr>
          <w:jc w:val="center"/>
        </w:trPr>
        <w:tc>
          <w:tcPr>
            <w:tcW w:w="0" w:type="auto"/>
            <w:vMerge w:val="restart"/>
            <w:tcBorders>
              <w:top w:val="single" w:color="auto" w:sz="6" w:space="0"/>
              <w:left w:val="nil"/>
              <w:right w:val="nil"/>
            </w:tcBorders>
          </w:tcPr>
          <w:p>
            <w:pPr>
              <w:autoSpaceDE w:val="0"/>
              <w:autoSpaceDN w:val="0"/>
              <w:adjustRightInd w:val="0"/>
              <w:snapToGrid w:val="0"/>
              <w:jc w:val="left"/>
              <w:rPr>
                <w:rFonts w:ascii="Times New Roman" w:hAnsi="Times New Roman" w:eastAsia="仿宋" w:cs="Times New Roman"/>
                <w:kern w:val="0"/>
                <w:sz w:val="20"/>
                <w:szCs w:val="20"/>
              </w:rPr>
            </w:pPr>
            <w:r>
              <w:rPr>
                <w:rFonts w:ascii="Times New Roman" w:hAnsi="Times New Roman" w:eastAsia="仿宋" w:cs="Times New Roman"/>
                <w:kern w:val="0"/>
                <w:sz w:val="18"/>
                <w:szCs w:val="18"/>
              </w:rPr>
              <w:t>变量/行业</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(2)</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(4)</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(5)</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(6)</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(7)</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(8)</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(9)</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(11)</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(10)</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(12)</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(13)</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(14)</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(15)</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(16)</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(17)</w:t>
            </w:r>
          </w:p>
        </w:tc>
        <w:tc>
          <w:tcPr>
            <w:tcW w:w="0" w:type="auto"/>
            <w:tcBorders>
              <w:top w:val="single" w:color="auto" w:sz="6"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(18)</w:t>
            </w:r>
          </w:p>
        </w:tc>
      </w:tr>
      <w:tr>
        <w:tblPrEx>
          <w:tblCellMar>
            <w:top w:w="0" w:type="dxa"/>
            <w:left w:w="75" w:type="dxa"/>
            <w:bottom w:w="0" w:type="dxa"/>
            <w:right w:w="75" w:type="dxa"/>
          </w:tblCellMar>
        </w:tblPrEx>
        <w:trPr>
          <w:jc w:val="center"/>
        </w:trPr>
        <w:tc>
          <w:tcPr>
            <w:tcW w:w="0" w:type="auto"/>
            <w:vMerge w:val="continue"/>
            <w:tcBorders>
              <w:left w:val="nil"/>
              <w:right w:val="nil"/>
            </w:tcBorders>
          </w:tcPr>
          <w:p>
            <w:pPr>
              <w:autoSpaceDE w:val="0"/>
              <w:autoSpaceDN w:val="0"/>
              <w:adjustRightInd w:val="0"/>
              <w:snapToGrid w:val="0"/>
              <w:jc w:val="left"/>
              <w:rPr>
                <w:rFonts w:ascii="Times New Roman" w:hAnsi="Times New Roman" w:eastAsia="仿宋" w:cs="Times New Roman"/>
                <w:kern w:val="0"/>
                <w:sz w:val="20"/>
                <w:szCs w:val="20"/>
              </w:rPr>
            </w:pP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14</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15</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16</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17</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19</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20</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22</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25</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26</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28</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32</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34</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36</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39</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40</w:t>
            </w:r>
          </w:p>
        </w:tc>
      </w:tr>
      <w:tr>
        <w:tblPrEx>
          <w:tblCellMar>
            <w:top w:w="0" w:type="dxa"/>
            <w:left w:w="75" w:type="dxa"/>
            <w:bottom w:w="0" w:type="dxa"/>
            <w:right w:w="75" w:type="dxa"/>
          </w:tblCellMar>
        </w:tblPrEx>
        <w:trPr>
          <w:jc w:val="center"/>
        </w:trPr>
        <w:tc>
          <w:tcPr>
            <w:tcW w:w="0" w:type="auto"/>
            <w:vMerge w:val="continue"/>
            <w:tcBorders>
              <w:left w:val="nil"/>
              <w:bottom w:val="single" w:color="auto" w:sz="6" w:space="0"/>
              <w:right w:val="nil"/>
            </w:tcBorders>
          </w:tcPr>
          <w:p>
            <w:pPr>
              <w:autoSpaceDE w:val="0"/>
              <w:autoSpaceDN w:val="0"/>
              <w:adjustRightInd w:val="0"/>
              <w:snapToGrid w:val="0"/>
              <w:jc w:val="left"/>
              <w:rPr>
                <w:rFonts w:ascii="Times New Roman" w:hAnsi="Times New Roman" w:eastAsia="仿宋" w:cs="Times New Roman"/>
                <w:kern w:val="0"/>
                <w:sz w:val="20"/>
                <w:szCs w:val="20"/>
              </w:rPr>
            </w:pP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ln</w:t>
            </w:r>
            <w:r>
              <w:rPr>
                <w:rFonts w:ascii="Times New Roman" w:hAnsi="Times New Roman" w:eastAsia="仿宋" w:cs="Times New Roman"/>
                <w:i/>
                <w:iCs/>
                <w:kern w:val="0"/>
                <w:sz w:val="20"/>
                <w:szCs w:val="20"/>
              </w:rPr>
              <w:t>CO</w:t>
            </w:r>
            <w:r>
              <w:rPr>
                <w:rFonts w:ascii="Times New Roman" w:hAnsi="Times New Roman" w:eastAsia="仿宋" w:cs="Times New Roman"/>
                <w:i/>
                <w:iCs/>
                <w:kern w:val="0"/>
                <w:sz w:val="20"/>
                <w:szCs w:val="20"/>
                <w:vertAlign w:val="subscript"/>
              </w:rPr>
              <w:t>2</w:t>
            </w:r>
          </w:p>
        </w:tc>
      </w:tr>
      <w:tr>
        <w:tblPrEx>
          <w:tblCellMar>
            <w:top w:w="0" w:type="dxa"/>
            <w:left w:w="75" w:type="dxa"/>
            <w:bottom w:w="0" w:type="dxa"/>
            <w:right w:w="75" w:type="dxa"/>
          </w:tblCellMar>
        </w:tblPrEx>
        <w:trPr>
          <w:jc w:val="center"/>
        </w:trPr>
        <w:tc>
          <w:tcPr>
            <w:tcW w:w="0" w:type="auto"/>
            <w:tcBorders>
              <w:top w:val="nil"/>
              <w:left w:val="nil"/>
              <w:bottom w:val="nil"/>
              <w:right w:val="nil"/>
            </w:tcBorders>
          </w:tcPr>
          <w:p>
            <w:pPr>
              <w:autoSpaceDE w:val="0"/>
              <w:autoSpaceDN w:val="0"/>
              <w:adjustRightInd w:val="0"/>
              <w:snapToGrid w:val="0"/>
              <w:jc w:val="left"/>
              <w:rPr>
                <w:rFonts w:ascii="Times New Roman" w:hAnsi="Times New Roman" w:eastAsia="仿宋" w:cs="Times New Roman"/>
                <w:i/>
                <w:iCs/>
                <w:kern w:val="0"/>
                <w:sz w:val="20"/>
                <w:szCs w:val="20"/>
              </w:rPr>
            </w:pPr>
            <w:r>
              <w:rPr>
                <w:rFonts w:ascii="Times New Roman" w:hAnsi="Times New Roman" w:eastAsia="仿宋" w:cs="Times New Roman"/>
                <w:i/>
                <w:iCs/>
                <w:kern w:val="0"/>
                <w:sz w:val="20"/>
                <w:szCs w:val="20"/>
              </w:rPr>
              <w:t>cps</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-0.033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-0.146**</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-0.143**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-0.125</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0.043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0.092</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-0.400**</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-0.178*</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0.011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-0.070</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0.101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-0.118***</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-0.104**</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0.123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-0.065</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1.937</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-1.612***</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-0.091</w:t>
            </w:r>
          </w:p>
        </w:tc>
      </w:tr>
      <w:tr>
        <w:tblPrEx>
          <w:tblCellMar>
            <w:top w:w="0" w:type="dxa"/>
            <w:left w:w="75" w:type="dxa"/>
            <w:bottom w:w="0" w:type="dxa"/>
            <w:right w:w="75" w:type="dxa"/>
          </w:tblCellMar>
        </w:tblPrEx>
        <w:trPr>
          <w:jc w:val="center"/>
        </w:trPr>
        <w:tc>
          <w:tcPr>
            <w:tcW w:w="0" w:type="auto"/>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20"/>
                <w:szCs w:val="20"/>
              </w:rPr>
            </w:pP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(0.058)</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(0.071)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(0.058)</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(0.256)</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(0.037)</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(0.085)</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(0.159)</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(0.106)</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(0.079)</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(0.046)</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(0.123)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(0.031)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(0.041)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(0.077)</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(0.071)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(1.317)</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(0.253)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(0.084)</w:t>
            </w:r>
          </w:p>
        </w:tc>
      </w:tr>
      <w:tr>
        <w:tblPrEx>
          <w:tblCellMar>
            <w:top w:w="0" w:type="dxa"/>
            <w:left w:w="75" w:type="dxa"/>
            <w:bottom w:w="0" w:type="dxa"/>
            <w:right w:w="75" w:type="dxa"/>
          </w:tblCellMar>
        </w:tblPrEx>
        <w:trPr>
          <w:jc w:val="center"/>
        </w:trPr>
        <w:tc>
          <w:tcPr>
            <w:tcW w:w="0" w:type="auto"/>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20"/>
                <w:szCs w:val="20"/>
              </w:rPr>
            </w:pPr>
            <w:r>
              <w:rPr>
                <w:rFonts w:ascii="Times New Roman" w:hAnsi="Times New Roman" w:eastAsia="仿宋" w:cs="Times New Roman"/>
                <w:kern w:val="0"/>
                <w:sz w:val="20"/>
                <w:szCs w:val="20"/>
              </w:rPr>
              <w:t>控制变量</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r>
      <w:tr>
        <w:tblPrEx>
          <w:tblCellMar>
            <w:top w:w="0" w:type="dxa"/>
            <w:left w:w="75" w:type="dxa"/>
            <w:bottom w:w="0" w:type="dxa"/>
            <w:right w:w="75" w:type="dxa"/>
          </w:tblCellMar>
        </w:tblPrEx>
        <w:trPr>
          <w:jc w:val="center"/>
        </w:trPr>
        <w:tc>
          <w:tcPr>
            <w:tcW w:w="0" w:type="auto"/>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20"/>
                <w:szCs w:val="20"/>
              </w:rPr>
            </w:pPr>
            <w:r>
              <w:rPr>
                <w:rFonts w:ascii="Times New Roman" w:hAnsi="Times New Roman" w:eastAsia="仿宋" w:cs="Times New Roman"/>
                <w:kern w:val="0"/>
                <w:sz w:val="20"/>
                <w:szCs w:val="20"/>
              </w:rPr>
              <w:t>企业固定效应</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r>
      <w:tr>
        <w:tblPrEx>
          <w:tblCellMar>
            <w:top w:w="0" w:type="dxa"/>
            <w:left w:w="75" w:type="dxa"/>
            <w:bottom w:w="0" w:type="dxa"/>
            <w:right w:w="75" w:type="dxa"/>
          </w:tblCellMar>
        </w:tblPrEx>
        <w:trPr>
          <w:jc w:val="center"/>
        </w:trPr>
        <w:tc>
          <w:tcPr>
            <w:tcW w:w="0" w:type="auto"/>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20"/>
                <w:szCs w:val="20"/>
              </w:rPr>
            </w:pPr>
            <w:r>
              <w:rPr>
                <w:rFonts w:ascii="Times New Roman" w:hAnsi="Times New Roman" w:eastAsia="仿宋" w:cs="Times New Roman"/>
                <w:kern w:val="0"/>
                <w:sz w:val="20"/>
                <w:szCs w:val="20"/>
              </w:rPr>
              <w:t>城市-年份固定</w:t>
            </w:r>
          </w:p>
          <w:p>
            <w:pPr>
              <w:autoSpaceDE w:val="0"/>
              <w:autoSpaceDN w:val="0"/>
              <w:adjustRightInd w:val="0"/>
              <w:snapToGrid w:val="0"/>
              <w:jc w:val="left"/>
              <w:rPr>
                <w:rFonts w:ascii="Times New Roman" w:hAnsi="Times New Roman" w:eastAsia="仿宋" w:cs="Times New Roman"/>
                <w:kern w:val="0"/>
                <w:sz w:val="20"/>
                <w:szCs w:val="20"/>
              </w:rPr>
            </w:pPr>
            <w:r>
              <w:rPr>
                <w:rFonts w:ascii="Times New Roman" w:hAnsi="Times New Roman" w:eastAsia="仿宋" w:cs="Times New Roman"/>
                <w:kern w:val="0"/>
                <w:sz w:val="20"/>
                <w:szCs w:val="20"/>
              </w:rPr>
              <w:t>效应</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有</w:t>
            </w:r>
          </w:p>
        </w:tc>
      </w:tr>
      <w:tr>
        <w:tblPrEx>
          <w:tblCellMar>
            <w:top w:w="0" w:type="dxa"/>
            <w:left w:w="75" w:type="dxa"/>
            <w:bottom w:w="0" w:type="dxa"/>
            <w:right w:w="75" w:type="dxa"/>
          </w:tblCellMar>
        </w:tblPrEx>
        <w:trPr>
          <w:jc w:val="center"/>
        </w:trPr>
        <w:tc>
          <w:tcPr>
            <w:tcW w:w="0" w:type="auto"/>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20"/>
                <w:szCs w:val="20"/>
              </w:rPr>
            </w:pPr>
            <w:r>
              <w:rPr>
                <w:rFonts w:ascii="Times New Roman" w:hAnsi="Times New Roman" w:eastAsia="仿宋" w:cs="Times New Roman"/>
                <w:kern w:val="0"/>
                <w:sz w:val="20"/>
                <w:szCs w:val="20"/>
              </w:rPr>
              <w:t>Observations</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314,567</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309,819</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309,422</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307,869</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318,073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309,636</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308,457</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307,413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312,296</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cs="Times New Roman"/>
                <w:kern w:val="0"/>
                <w:sz w:val="20"/>
                <w:szCs w:val="20"/>
              </w:rPr>
              <w:t>318,481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308,435</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341,905</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309,400</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307,881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307,551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306,994</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307,109</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307,460</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0" w:type="auto"/>
            <w:tcBorders>
              <w:top w:val="nil"/>
              <w:left w:val="nil"/>
              <w:bottom w:val="single" w:color="auto" w:sz="6" w:space="0"/>
              <w:right w:val="nil"/>
            </w:tcBorders>
          </w:tcPr>
          <w:p>
            <w:pPr>
              <w:autoSpaceDE w:val="0"/>
              <w:autoSpaceDN w:val="0"/>
              <w:adjustRightInd w:val="0"/>
              <w:snapToGrid w:val="0"/>
              <w:jc w:val="left"/>
              <w:rPr>
                <w:rFonts w:ascii="Times New Roman" w:hAnsi="Times New Roman" w:eastAsia="仿宋" w:cs="Times New Roman"/>
                <w:kern w:val="0"/>
                <w:sz w:val="20"/>
                <w:szCs w:val="20"/>
              </w:rPr>
            </w:pPr>
            <w:r>
              <w:rPr>
                <w:rFonts w:ascii="Times New Roman" w:hAnsi="Times New Roman" w:eastAsia="仿宋" w:cs="Times New Roman"/>
                <w:kern w:val="0"/>
                <w:sz w:val="20"/>
                <w:szCs w:val="20"/>
              </w:rPr>
              <w:t>R-squared</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0.867</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0.868</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0.868</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0.868</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0.867</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0.868</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0.868</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0.869</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0.873</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cs="Times New Roman"/>
                <w:kern w:val="0"/>
                <w:sz w:val="20"/>
                <w:szCs w:val="20"/>
              </w:rPr>
              <w:t>0.871</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0.869</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0.873</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0.869</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0.868</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0.868</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0.868</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0.868</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20"/>
                <w:szCs w:val="20"/>
              </w:rPr>
            </w:pPr>
            <w:r>
              <w:rPr>
                <w:rFonts w:ascii="Times New Roman" w:hAnsi="Times New Roman" w:eastAsia="仿宋" w:cs="Times New Roman"/>
                <w:kern w:val="0"/>
                <w:sz w:val="20"/>
                <w:szCs w:val="20"/>
              </w:rPr>
              <w:t>0.869</w:t>
            </w:r>
          </w:p>
        </w:tc>
      </w:tr>
    </w:tbl>
    <w:p>
      <w:pPr>
        <w:adjustRightInd w:val="0"/>
        <w:snapToGrid w:val="0"/>
        <w:rPr>
          <w:rFonts w:ascii="Times New Roman" w:hAnsi="Times New Roman" w:eastAsia="仿宋" w:cs="Times New Roman"/>
          <w:sz w:val="16"/>
          <w:szCs w:val="18"/>
        </w:rPr>
        <w:sectPr>
          <w:footnotePr>
            <w:numFmt w:val="decimalEnclosedCircleChinese"/>
            <w:numRestart w:val="eachPage"/>
          </w:footnotePr>
          <w:endnotePr>
            <w:numFmt w:val="decimalEnclosedCircleChinese"/>
          </w:endnotePr>
          <w:pgSz w:w="16838" w:h="11906" w:orient="landscape"/>
          <w:pgMar w:top="1797" w:right="1440" w:bottom="1797" w:left="1440" w:header="851" w:footer="992" w:gutter="0"/>
          <w:cols w:space="425" w:num="1"/>
          <w:docGrid w:type="linesAndChars" w:linePitch="357" w:charSpace="-2478"/>
        </w:sectPr>
      </w:pPr>
      <w:r>
        <w:rPr>
          <w:rFonts w:ascii="Times New Roman" w:hAnsi="Times New Roman" w:eastAsia="仿宋" w:cs="Times New Roman"/>
          <w:sz w:val="16"/>
          <w:szCs w:val="18"/>
        </w:rPr>
        <w:t>注：表头中数字是指政策影响的两位数行业及四位数具体行业，分别是农副食品加工业13（1331、1340、1391）、食品制造业14（1440、1461）、饮料制造业15（1522、1521、1524）、烟草制造业16（1610、1620、1690）、纺织业17（1712）、皮革毛衣羽毛及其制造业19（1910）、木材加工及木竹藤棕草制品业20（2022）、造纸及纸制品业22（2210）、石油加工炼焦及核燃料加工业25（2511、2520）、化学原料及化学制品制造业26（2621、2614、2612）、化学纤维制造业28（2829）、橡胶制造业29（2925）、非金属矿物制品业31（3130、3150）、黑色金属冶炼及压延加工业32（3210、3220、3230、3240）、有色金属冶炼及压延加工业33（3316）、金属制品业34（3460）、专用设备制造业36（3652）、电气机械与器材制造39（3940、3969）、通信设备计算机及其他电子设备制造业40（4062）。回归时，为估计各行业减污降碳净效应、排除其他政策冲击样本干扰，仅保留政策冲击四位数行业及从未受到清洁生产标准实施影响的样本。为简化分析，未对四位数行业进行逐个讨论及控制四位数行业固定效应。行业29估计结果被系统自动删除。</w:t>
      </w:r>
    </w:p>
    <w:p>
      <w:pPr>
        <w:adjustRightInd w:val="0"/>
        <w:snapToGrid w:val="0"/>
        <w:rPr>
          <w:rFonts w:ascii="Times New Roman" w:hAnsi="Times New Roman" w:eastAsia="仿宋" w:cs="Times New Roman"/>
          <w:sz w:val="15"/>
          <w:szCs w:val="15"/>
          <w:shd w:val="clear" w:color="auto" w:fill="FFFFFF"/>
        </w:rPr>
      </w:pPr>
    </w:p>
    <w:p>
      <w:pPr>
        <w:pStyle w:val="3"/>
        <w:keepNext w:val="0"/>
        <w:keepLines w:val="0"/>
        <w:widowControl/>
        <w:spacing w:before="0" w:after="0"/>
        <w:ind w:firstLine="396" w:firstLineChars="200"/>
        <w:jc w:val="left"/>
        <w:rPr>
          <w:rFonts w:ascii="Times New Roman" w:hAnsi="Times New Roman" w:eastAsia="仿宋" w:cs="Times New Roman"/>
          <w:b/>
          <w:bCs/>
          <w:color w:val="auto"/>
          <w:kern w:val="0"/>
          <w:sz w:val="21"/>
          <w:szCs w:val="21"/>
        </w:rPr>
      </w:pPr>
      <w:bookmarkStart w:id="17" w:name="_Toc160281485"/>
      <w:bookmarkStart w:id="18" w:name="_Toc160282118"/>
      <w:r>
        <w:rPr>
          <w:rFonts w:ascii="Times New Roman" w:hAnsi="Times New Roman" w:eastAsia="仿宋" w:cs="Times New Roman"/>
          <w:b/>
          <w:bCs/>
          <w:color w:val="auto"/>
          <w:kern w:val="0"/>
          <w:sz w:val="21"/>
          <w:szCs w:val="21"/>
        </w:rPr>
        <w:t>3.企业所有制异质性</w:t>
      </w:r>
      <w:bookmarkEnd w:id="17"/>
      <w:bookmarkEnd w:id="18"/>
    </w:p>
    <w:p>
      <w:pPr>
        <w:ind w:firstLine="396" w:firstLineChars="200"/>
        <w:rPr>
          <w:rFonts w:ascii="Times New Roman" w:hAnsi="Times New Roman" w:eastAsia="仿宋" w:cs="Times New Roman"/>
        </w:rPr>
      </w:pPr>
      <w:r>
        <w:rPr>
          <w:rFonts w:ascii="Times New Roman" w:hAnsi="Times New Roman" w:eastAsia="仿宋" w:cs="Times New Roman"/>
        </w:rPr>
        <w:t>表</w:t>
      </w:r>
      <w:r>
        <w:rPr>
          <w:rFonts w:hint="eastAsia" w:ascii="Times New Roman" w:hAnsi="Times New Roman" w:eastAsia="仿宋" w:cs="Times New Roman"/>
        </w:rPr>
        <w:t>II</w:t>
      </w:r>
      <w:r>
        <w:rPr>
          <w:rFonts w:ascii="Times New Roman" w:hAnsi="Times New Roman" w:eastAsia="仿宋" w:cs="Times New Roman"/>
        </w:rPr>
        <w:t>3报告了政策效果及有效机制的所有制差异。列（1）和列（2）结果表明，减污和降碳效应在国企和非国企之间未表现出显著差异。列（3）至列（9）中，在源头预防（ln</w:t>
      </w:r>
      <w:r>
        <w:rPr>
          <w:rFonts w:ascii="Times New Roman" w:hAnsi="Times New Roman" w:eastAsia="仿宋" w:cs="Times New Roman"/>
          <w:i/>
          <w:iCs/>
        </w:rPr>
        <w:t>SO2_production、</w:t>
      </w:r>
      <w:r>
        <w:rPr>
          <w:rFonts w:ascii="Times New Roman" w:hAnsi="Times New Roman" w:eastAsia="仿宋" w:cs="Times New Roman"/>
        </w:rPr>
        <w:t>ln</w:t>
      </w:r>
      <w:r>
        <w:rPr>
          <w:rFonts w:ascii="Times New Roman" w:hAnsi="Times New Roman" w:eastAsia="仿宋" w:cs="Times New Roman"/>
          <w:i/>
          <w:iCs/>
        </w:rPr>
        <w:t>coal_den</w:t>
      </w:r>
      <w:r>
        <w:rPr>
          <w:rFonts w:ascii="Times New Roman" w:hAnsi="Times New Roman" w:eastAsia="仿宋" w:cs="Times New Roman"/>
        </w:rPr>
        <w:t>）和末端治理（</w:t>
      </w:r>
      <w:r>
        <w:rPr>
          <w:rFonts w:ascii="Times New Roman" w:hAnsi="Times New Roman" w:eastAsia="仿宋" w:cs="Times New Roman"/>
          <w:i/>
          <w:iCs/>
        </w:rPr>
        <w:t>dispose_rate</w:t>
      </w:r>
      <w:r>
        <w:rPr>
          <w:rFonts w:ascii="Times New Roman" w:hAnsi="Times New Roman" w:eastAsia="仿宋" w:cs="Times New Roman"/>
        </w:rPr>
        <w:t>）机制检验中，交</w:t>
      </w:r>
      <w:r>
        <w:rPr>
          <w:rFonts w:ascii="Times New Roman" w:hAnsi="Times New Roman" w:eastAsia="仿宋" w:cs="Times New Roman"/>
          <w:szCs w:val="21"/>
        </w:rPr>
        <w:t>互项</w:t>
      </w:r>
      <w:r>
        <w:rPr>
          <w:rFonts w:ascii="Times New Roman" w:hAnsi="Times New Roman" w:eastAsia="仿宋" w:cs="Times New Roman"/>
          <w:i/>
          <w:iCs/>
          <w:kern w:val="0"/>
          <w:szCs w:val="21"/>
        </w:rPr>
        <w:t>cps×soe</w:t>
      </w:r>
      <w:r>
        <w:rPr>
          <w:rFonts w:ascii="Times New Roman" w:hAnsi="Times New Roman" w:eastAsia="仿宋" w:cs="Times New Roman"/>
          <w:kern w:val="0"/>
          <w:szCs w:val="21"/>
        </w:rPr>
        <w:t>系数均</w:t>
      </w:r>
      <w:r>
        <w:rPr>
          <w:rFonts w:ascii="Times New Roman" w:hAnsi="Times New Roman" w:eastAsia="仿宋" w:cs="Times New Roman"/>
          <w:szCs w:val="21"/>
        </w:rPr>
        <w:t>不</w:t>
      </w:r>
      <w:r>
        <w:rPr>
          <w:rFonts w:ascii="Times New Roman" w:hAnsi="Times New Roman" w:eastAsia="仿宋" w:cs="Times New Roman"/>
        </w:rPr>
        <w:t>显著，机制作用未呈现出显著的所有制差异。而在过程控制（</w:t>
      </w:r>
      <w:r>
        <w:rPr>
          <w:rFonts w:ascii="Times New Roman" w:hAnsi="Times New Roman" w:eastAsia="仿宋" w:cs="Times New Roman"/>
          <w:i/>
          <w:iCs/>
        </w:rPr>
        <w:t>three_total、entry、exit、dshare</w:t>
      </w:r>
      <w:r>
        <w:rPr>
          <w:rFonts w:ascii="Times New Roman" w:hAnsi="Times New Roman" w:eastAsia="仿宋" w:cs="Times New Roman"/>
        </w:rPr>
        <w:t>）机制中，除能源效率机</w:t>
      </w:r>
      <w:r>
        <w:rPr>
          <w:rFonts w:ascii="Times New Roman" w:hAnsi="Times New Roman" w:eastAsia="仿宋" w:cs="Times New Roman"/>
          <w:szCs w:val="21"/>
        </w:rPr>
        <w:t>制(</w:t>
      </w:r>
      <w:r>
        <w:rPr>
          <w:rFonts w:ascii="Times New Roman" w:hAnsi="Times New Roman" w:cs="Times New Roman"/>
          <w:kern w:val="0"/>
          <w:szCs w:val="21"/>
        </w:rPr>
        <w:t>ln</w:t>
      </w:r>
      <w:r>
        <w:rPr>
          <w:rFonts w:ascii="Times New Roman" w:hAnsi="Times New Roman" w:cs="Times New Roman"/>
          <w:i/>
          <w:iCs/>
          <w:kern w:val="0"/>
          <w:szCs w:val="21"/>
        </w:rPr>
        <w:t>coal_den</w:t>
      </w:r>
      <w:r>
        <w:rPr>
          <w:rFonts w:ascii="Times New Roman" w:hAnsi="Times New Roman" w:eastAsia="仿宋" w:cs="Times New Roman"/>
          <w:szCs w:val="21"/>
        </w:rPr>
        <w:t>)外，交互项</w:t>
      </w:r>
      <w:r>
        <w:rPr>
          <w:rFonts w:ascii="Times New Roman" w:hAnsi="Times New Roman" w:eastAsia="仿宋" w:cs="Times New Roman"/>
          <w:i/>
          <w:iCs/>
          <w:kern w:val="0"/>
          <w:szCs w:val="21"/>
        </w:rPr>
        <w:t>cps×soe</w:t>
      </w:r>
      <w:r>
        <w:rPr>
          <w:rFonts w:ascii="Times New Roman" w:hAnsi="Times New Roman" w:eastAsia="仿宋" w:cs="Times New Roman"/>
          <w:kern w:val="0"/>
          <w:szCs w:val="21"/>
        </w:rPr>
        <w:t>系数</w:t>
      </w:r>
      <w:r>
        <w:rPr>
          <w:rFonts w:ascii="Times New Roman" w:hAnsi="Times New Roman" w:eastAsia="仿宋" w:cs="Times New Roman"/>
          <w:szCs w:val="21"/>
        </w:rPr>
        <w:t>均较为显</w:t>
      </w:r>
      <w:r>
        <w:rPr>
          <w:rFonts w:ascii="Times New Roman" w:hAnsi="Times New Roman" w:eastAsia="仿宋" w:cs="Times New Roman"/>
        </w:rPr>
        <w:t>著，这表明，与非国企相比，国企的波特效应和进入效应更强、但退出效应更弱，国企具有所有制优势，使得其能够获得更多的优惠信贷资源支持，促进扩大绿色技术投资，波特效应更显著，另外，国企在地方“父爱主义”偏袒下，即便成为僵尸企业也难以直接退出市场（聂辉华等，2016）。此外还发现，清洁生产政策使得国企市场份额相对于非国企发生了“此消彼长”的特征，促进资源要素从国企流向机制更活、效率更高的非国有企业，有助于消除市场资源错配以及优化资源配置效率。</w:t>
      </w:r>
    </w:p>
    <w:p>
      <w:pPr>
        <w:ind w:firstLine="336" w:firstLineChars="200"/>
        <w:jc w:val="center"/>
        <w:rPr>
          <w:rFonts w:hint="eastAsia" w:ascii="黑体" w:hAnsi="黑体" w:eastAsia="黑体" w:cs="黑体"/>
          <w:sz w:val="18"/>
          <w:szCs w:val="18"/>
        </w:rPr>
      </w:pPr>
      <w:r>
        <w:rPr>
          <w:rFonts w:hint="eastAsia" w:ascii="黑体" w:hAnsi="黑体" w:eastAsia="黑体" w:cs="黑体"/>
          <w:sz w:val="18"/>
          <w:szCs w:val="18"/>
        </w:rPr>
        <w:t>表II3  企业所有制异质性</w:t>
      </w:r>
    </w:p>
    <w:tbl>
      <w:tblPr>
        <w:tblStyle w:val="24"/>
        <w:tblW w:w="6000" w:type="pct"/>
        <w:jc w:val="center"/>
        <w:tblLayout w:type="autofit"/>
        <w:tblCellMar>
          <w:top w:w="0" w:type="dxa"/>
          <w:left w:w="75" w:type="dxa"/>
          <w:bottom w:w="0" w:type="dxa"/>
          <w:right w:w="75" w:type="dxa"/>
        </w:tblCellMar>
      </w:tblPr>
      <w:tblGrid>
        <w:gridCol w:w="1133"/>
        <w:gridCol w:w="916"/>
        <w:gridCol w:w="916"/>
        <w:gridCol w:w="1490"/>
        <w:gridCol w:w="981"/>
        <w:gridCol w:w="963"/>
        <w:gridCol w:w="916"/>
        <w:gridCol w:w="916"/>
        <w:gridCol w:w="823"/>
        <w:gridCol w:w="1100"/>
      </w:tblGrid>
      <w:tr>
        <w:tblPrEx>
          <w:tblCellMar>
            <w:top w:w="0" w:type="dxa"/>
            <w:left w:w="75" w:type="dxa"/>
            <w:bottom w:w="0" w:type="dxa"/>
            <w:right w:w="75" w:type="dxa"/>
          </w:tblCellMar>
        </w:tblPrEx>
        <w:trPr>
          <w:cantSplit/>
          <w:jc w:val="center"/>
        </w:trPr>
        <w:tc>
          <w:tcPr>
            <w:tcW w:w="0" w:type="auto"/>
            <w:vMerge w:val="restart"/>
            <w:tcBorders>
              <w:top w:val="single" w:color="auto" w:sz="6" w:space="0"/>
              <w:left w:val="nil"/>
              <w:right w:val="nil"/>
            </w:tcBorders>
          </w:tcPr>
          <w:p>
            <w:pPr>
              <w:autoSpaceDE w:val="0"/>
              <w:autoSpaceDN w:val="0"/>
              <w:adjustRightInd w:val="0"/>
              <w:snapToGrid w:val="0"/>
              <w:jc w:val="left"/>
              <w:rPr>
                <w:rFonts w:ascii="Times New Roman" w:hAnsi="Times New Roman" w:eastAsia="仿宋" w:cs="Times New Roman"/>
                <w:kern w:val="0"/>
                <w:sz w:val="18"/>
                <w:szCs w:val="18"/>
              </w:rPr>
            </w:pPr>
          </w:p>
        </w:tc>
        <w:tc>
          <w:tcPr>
            <w:tcW w:w="0" w:type="auto"/>
            <w:tcBorders>
              <w:top w:val="single" w:color="auto" w:sz="6"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SO</w:t>
            </w:r>
            <w:r>
              <w:rPr>
                <w:rFonts w:ascii="Times New Roman" w:hAnsi="Times New Roman" w:cs="Times New Roman"/>
                <w:i/>
                <w:iCs/>
                <w:kern w:val="0"/>
                <w:sz w:val="18"/>
                <w:szCs w:val="18"/>
                <w:vertAlign w:val="subscript"/>
              </w:rPr>
              <w:t>2</w:t>
            </w:r>
          </w:p>
        </w:tc>
        <w:tc>
          <w:tcPr>
            <w:tcW w:w="0" w:type="auto"/>
            <w:tcBorders>
              <w:top w:val="single" w:color="auto" w:sz="6"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CO</w:t>
            </w:r>
            <w:r>
              <w:rPr>
                <w:rFonts w:ascii="Times New Roman" w:hAnsi="Times New Roman" w:cs="Times New Roman"/>
                <w:i/>
                <w:iCs/>
                <w:kern w:val="0"/>
                <w:sz w:val="18"/>
                <w:szCs w:val="18"/>
                <w:vertAlign w:val="subscript"/>
              </w:rPr>
              <w:t>2</w:t>
            </w:r>
          </w:p>
        </w:tc>
        <w:tc>
          <w:tcPr>
            <w:tcW w:w="0" w:type="auto"/>
            <w:tcBorders>
              <w:top w:val="single" w:color="auto" w:sz="6"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SO</w:t>
            </w:r>
            <w:r>
              <w:rPr>
                <w:rFonts w:ascii="Times New Roman" w:hAnsi="Times New Roman" w:cs="Times New Roman"/>
                <w:i/>
                <w:iCs/>
                <w:kern w:val="0"/>
                <w:sz w:val="18"/>
                <w:szCs w:val="18"/>
                <w:vertAlign w:val="subscript"/>
              </w:rPr>
              <w:t>2</w:t>
            </w:r>
            <w:r>
              <w:rPr>
                <w:rFonts w:ascii="Times New Roman" w:hAnsi="Times New Roman" w:cs="Times New Roman"/>
                <w:i/>
                <w:iCs/>
                <w:kern w:val="0"/>
                <w:sz w:val="18"/>
                <w:szCs w:val="18"/>
              </w:rPr>
              <w:t>_production</w:t>
            </w:r>
          </w:p>
        </w:tc>
        <w:tc>
          <w:tcPr>
            <w:tcW w:w="0" w:type="auto"/>
            <w:tcBorders>
              <w:top w:val="single" w:color="auto" w:sz="6"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coal_den</w:t>
            </w:r>
          </w:p>
        </w:tc>
        <w:tc>
          <w:tcPr>
            <w:tcW w:w="0" w:type="auto"/>
            <w:tcBorders>
              <w:top w:val="single" w:color="auto" w:sz="6"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i/>
                <w:iCs/>
                <w:kern w:val="0"/>
                <w:sz w:val="18"/>
                <w:szCs w:val="18"/>
              </w:rPr>
              <w:t>three_total</w:t>
            </w:r>
          </w:p>
        </w:tc>
        <w:tc>
          <w:tcPr>
            <w:tcW w:w="0" w:type="auto"/>
            <w:tcBorders>
              <w:top w:val="single" w:color="auto" w:sz="6"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i/>
                <w:iCs/>
                <w:kern w:val="0"/>
                <w:sz w:val="18"/>
                <w:szCs w:val="18"/>
              </w:rPr>
              <w:t>entry</w:t>
            </w:r>
          </w:p>
        </w:tc>
        <w:tc>
          <w:tcPr>
            <w:tcW w:w="0" w:type="auto"/>
            <w:tcBorders>
              <w:top w:val="single" w:color="auto" w:sz="6"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i/>
                <w:iCs/>
                <w:kern w:val="0"/>
                <w:sz w:val="18"/>
                <w:szCs w:val="18"/>
              </w:rPr>
              <w:t>exit</w:t>
            </w:r>
          </w:p>
        </w:tc>
        <w:tc>
          <w:tcPr>
            <w:tcW w:w="0" w:type="auto"/>
            <w:tcBorders>
              <w:top w:val="single" w:color="auto" w:sz="6"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i/>
                <w:iCs/>
                <w:kern w:val="0"/>
                <w:sz w:val="18"/>
                <w:szCs w:val="18"/>
              </w:rPr>
              <w:t>dshare</w:t>
            </w:r>
          </w:p>
        </w:tc>
        <w:tc>
          <w:tcPr>
            <w:tcW w:w="0" w:type="auto"/>
            <w:tcBorders>
              <w:top w:val="single" w:color="auto" w:sz="6"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i/>
                <w:iCs/>
                <w:kern w:val="0"/>
                <w:sz w:val="18"/>
                <w:szCs w:val="18"/>
              </w:rPr>
              <w:t>dispose_rate</w:t>
            </w:r>
          </w:p>
        </w:tc>
      </w:tr>
      <w:tr>
        <w:tblPrEx>
          <w:tblCellMar>
            <w:top w:w="0" w:type="dxa"/>
            <w:left w:w="75" w:type="dxa"/>
            <w:bottom w:w="0" w:type="dxa"/>
            <w:right w:w="75" w:type="dxa"/>
          </w:tblCellMar>
        </w:tblPrEx>
        <w:trPr>
          <w:cantSplit/>
          <w:jc w:val="center"/>
        </w:trPr>
        <w:tc>
          <w:tcPr>
            <w:tcW w:w="0" w:type="auto"/>
            <w:vMerge w:val="continue"/>
            <w:tcBorders>
              <w:left w:val="nil"/>
              <w:bottom w:val="single" w:color="auto" w:sz="4" w:space="0"/>
              <w:right w:val="nil"/>
            </w:tcBorders>
          </w:tcPr>
          <w:p>
            <w:pPr>
              <w:autoSpaceDE w:val="0"/>
              <w:autoSpaceDN w:val="0"/>
              <w:adjustRightInd w:val="0"/>
              <w:snapToGrid w:val="0"/>
              <w:jc w:val="left"/>
              <w:rPr>
                <w:rFonts w:ascii="Times New Roman" w:hAnsi="Times New Roman" w:eastAsia="仿宋" w:cs="Times New Roman"/>
                <w:kern w:val="0"/>
                <w:sz w:val="18"/>
                <w:szCs w:val="18"/>
              </w:rPr>
            </w:pPr>
          </w:p>
        </w:tc>
        <w:tc>
          <w:tcPr>
            <w:tcW w:w="0" w:type="auto"/>
            <w:tcBorders>
              <w:top w:val="single" w:color="auto" w:sz="4"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w:t>
            </w:r>
          </w:p>
        </w:tc>
        <w:tc>
          <w:tcPr>
            <w:tcW w:w="0" w:type="auto"/>
            <w:tcBorders>
              <w:top w:val="single" w:color="auto" w:sz="4"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w:t>
            </w:r>
          </w:p>
        </w:tc>
        <w:tc>
          <w:tcPr>
            <w:tcW w:w="0" w:type="auto"/>
            <w:tcBorders>
              <w:top w:val="single" w:color="auto" w:sz="4"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(3)</w:t>
            </w:r>
          </w:p>
        </w:tc>
        <w:tc>
          <w:tcPr>
            <w:tcW w:w="0" w:type="auto"/>
            <w:tcBorders>
              <w:top w:val="single" w:color="auto" w:sz="4"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(4)</w:t>
            </w:r>
          </w:p>
        </w:tc>
        <w:tc>
          <w:tcPr>
            <w:tcW w:w="0" w:type="auto"/>
            <w:tcBorders>
              <w:top w:val="single" w:color="auto" w:sz="4"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i/>
                <w:iCs/>
                <w:kern w:val="0"/>
                <w:sz w:val="18"/>
                <w:szCs w:val="18"/>
              </w:rPr>
            </w:pPr>
            <w:r>
              <w:rPr>
                <w:rFonts w:ascii="Times New Roman" w:hAnsi="Times New Roman" w:eastAsia="仿宋" w:cs="Times New Roman"/>
                <w:kern w:val="0"/>
                <w:sz w:val="18"/>
                <w:szCs w:val="18"/>
              </w:rPr>
              <w:t>(5)</w:t>
            </w:r>
          </w:p>
        </w:tc>
        <w:tc>
          <w:tcPr>
            <w:tcW w:w="0" w:type="auto"/>
            <w:tcBorders>
              <w:top w:val="single" w:color="auto" w:sz="4"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i/>
                <w:iCs/>
                <w:kern w:val="0"/>
                <w:sz w:val="18"/>
                <w:szCs w:val="18"/>
              </w:rPr>
            </w:pPr>
            <w:r>
              <w:rPr>
                <w:rFonts w:ascii="Times New Roman" w:hAnsi="Times New Roman" w:eastAsia="仿宋" w:cs="Times New Roman"/>
                <w:kern w:val="0"/>
                <w:sz w:val="18"/>
                <w:szCs w:val="18"/>
              </w:rPr>
              <w:t>(6)</w:t>
            </w:r>
          </w:p>
        </w:tc>
        <w:tc>
          <w:tcPr>
            <w:tcW w:w="0" w:type="auto"/>
            <w:tcBorders>
              <w:top w:val="single" w:color="auto" w:sz="4"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i/>
                <w:iCs/>
                <w:kern w:val="0"/>
                <w:sz w:val="18"/>
                <w:szCs w:val="18"/>
              </w:rPr>
            </w:pPr>
            <w:r>
              <w:rPr>
                <w:rFonts w:ascii="Times New Roman" w:hAnsi="Times New Roman" w:eastAsia="仿宋" w:cs="Times New Roman"/>
                <w:kern w:val="0"/>
                <w:sz w:val="18"/>
                <w:szCs w:val="18"/>
              </w:rPr>
              <w:t>(7)</w:t>
            </w:r>
          </w:p>
        </w:tc>
        <w:tc>
          <w:tcPr>
            <w:tcW w:w="0" w:type="auto"/>
            <w:tcBorders>
              <w:top w:val="single" w:color="auto" w:sz="4"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i/>
                <w:iCs/>
                <w:kern w:val="0"/>
                <w:sz w:val="18"/>
                <w:szCs w:val="18"/>
              </w:rPr>
            </w:pPr>
            <w:r>
              <w:rPr>
                <w:rFonts w:ascii="Times New Roman" w:hAnsi="Times New Roman" w:eastAsia="仿宋" w:cs="Times New Roman"/>
                <w:kern w:val="0"/>
                <w:sz w:val="18"/>
                <w:szCs w:val="18"/>
              </w:rPr>
              <w:t>(8)</w:t>
            </w:r>
          </w:p>
        </w:tc>
        <w:tc>
          <w:tcPr>
            <w:tcW w:w="0" w:type="auto"/>
            <w:tcBorders>
              <w:top w:val="single" w:color="auto" w:sz="4" w:space="0"/>
              <w:left w:val="nil"/>
              <w:bottom w:val="single" w:color="auto" w:sz="4" w:space="0"/>
              <w:right w:val="nil"/>
            </w:tcBorders>
          </w:tcPr>
          <w:p>
            <w:pPr>
              <w:autoSpaceDE w:val="0"/>
              <w:autoSpaceDN w:val="0"/>
              <w:adjustRightInd w:val="0"/>
              <w:snapToGrid w:val="0"/>
              <w:jc w:val="center"/>
              <w:rPr>
                <w:rFonts w:ascii="Times New Roman" w:hAnsi="Times New Roman" w:eastAsia="仿宋" w:cs="Times New Roman"/>
                <w:i/>
                <w:iCs/>
                <w:kern w:val="0"/>
                <w:sz w:val="18"/>
                <w:szCs w:val="18"/>
              </w:rPr>
            </w:pPr>
            <w:r>
              <w:rPr>
                <w:rFonts w:ascii="Times New Roman" w:hAnsi="Times New Roman" w:eastAsia="仿宋" w:cs="Times New Roman"/>
                <w:kern w:val="0"/>
                <w:sz w:val="18"/>
                <w:szCs w:val="18"/>
              </w:rPr>
              <w:t>(9)</w:t>
            </w:r>
          </w:p>
        </w:tc>
      </w:tr>
      <w:tr>
        <w:tblPrEx>
          <w:tblCellMar>
            <w:top w:w="0" w:type="dxa"/>
            <w:left w:w="75" w:type="dxa"/>
            <w:bottom w:w="0" w:type="dxa"/>
            <w:right w:w="75" w:type="dxa"/>
          </w:tblCellMar>
        </w:tblPrEx>
        <w:trPr>
          <w:cantSplit/>
          <w:jc w:val="center"/>
        </w:trPr>
        <w:tc>
          <w:tcPr>
            <w:tcW w:w="0" w:type="auto"/>
            <w:tcBorders>
              <w:top w:val="single" w:color="auto" w:sz="4" w:space="0"/>
              <w:left w:val="nil"/>
              <w:bottom w:val="nil"/>
              <w:right w:val="nil"/>
            </w:tcBorders>
          </w:tcPr>
          <w:p>
            <w:pPr>
              <w:autoSpaceDE w:val="0"/>
              <w:autoSpaceDN w:val="0"/>
              <w:adjustRightInd w:val="0"/>
              <w:snapToGrid w:val="0"/>
              <w:jc w:val="left"/>
              <w:rPr>
                <w:rFonts w:ascii="Times New Roman" w:hAnsi="Times New Roman" w:eastAsia="仿宋" w:cs="Times New Roman"/>
                <w:i/>
                <w:iCs/>
                <w:kern w:val="0"/>
                <w:sz w:val="18"/>
                <w:szCs w:val="18"/>
              </w:rPr>
            </w:pPr>
            <w:r>
              <w:rPr>
                <w:rFonts w:ascii="Times New Roman" w:hAnsi="Times New Roman" w:eastAsia="仿宋" w:cs="Times New Roman"/>
                <w:i/>
                <w:iCs/>
                <w:kern w:val="0"/>
                <w:sz w:val="18"/>
                <w:szCs w:val="18"/>
              </w:rPr>
              <w:t>cps×soe</w:t>
            </w:r>
          </w:p>
        </w:tc>
        <w:tc>
          <w:tcPr>
            <w:tcW w:w="0" w:type="auto"/>
            <w:tcBorders>
              <w:top w:val="single" w:color="auto" w:sz="4"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0.070</w:t>
            </w:r>
          </w:p>
        </w:tc>
        <w:tc>
          <w:tcPr>
            <w:tcW w:w="0" w:type="auto"/>
            <w:tcBorders>
              <w:top w:val="single" w:color="auto" w:sz="4"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-0.060</w:t>
            </w:r>
          </w:p>
        </w:tc>
        <w:tc>
          <w:tcPr>
            <w:tcW w:w="0" w:type="auto"/>
            <w:tcBorders>
              <w:top w:val="single" w:color="auto" w:sz="4"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0.074</w:t>
            </w:r>
          </w:p>
        </w:tc>
        <w:tc>
          <w:tcPr>
            <w:tcW w:w="0" w:type="auto"/>
            <w:tcBorders>
              <w:top w:val="single" w:color="auto" w:sz="4"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0.008</w:t>
            </w:r>
          </w:p>
        </w:tc>
        <w:tc>
          <w:tcPr>
            <w:tcW w:w="0" w:type="auto"/>
            <w:tcBorders>
              <w:top w:val="single" w:color="auto" w:sz="4"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0.311***</w:t>
            </w:r>
          </w:p>
        </w:tc>
        <w:tc>
          <w:tcPr>
            <w:tcW w:w="0" w:type="auto"/>
            <w:tcBorders>
              <w:top w:val="single" w:color="auto" w:sz="4"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0.030***</w:t>
            </w:r>
          </w:p>
        </w:tc>
        <w:tc>
          <w:tcPr>
            <w:tcW w:w="0" w:type="auto"/>
            <w:tcBorders>
              <w:top w:val="single" w:color="auto" w:sz="4"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-0.012*</w:t>
            </w:r>
          </w:p>
        </w:tc>
        <w:tc>
          <w:tcPr>
            <w:tcW w:w="0" w:type="auto"/>
            <w:tcBorders>
              <w:top w:val="single" w:color="auto" w:sz="4"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-0.002**</w:t>
            </w:r>
          </w:p>
        </w:tc>
        <w:tc>
          <w:tcPr>
            <w:tcW w:w="0" w:type="auto"/>
            <w:tcBorders>
              <w:top w:val="single" w:color="auto" w:sz="4" w:space="0"/>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0.022</w:t>
            </w:r>
          </w:p>
        </w:tc>
      </w:tr>
      <w:tr>
        <w:tblPrEx>
          <w:tblCellMar>
            <w:top w:w="0" w:type="dxa"/>
            <w:left w:w="75" w:type="dxa"/>
            <w:bottom w:w="0" w:type="dxa"/>
            <w:right w:w="75" w:type="dxa"/>
          </w:tblCellMar>
        </w:tblPrEx>
        <w:trPr>
          <w:cantSplit/>
          <w:jc w:val="center"/>
        </w:trPr>
        <w:tc>
          <w:tcPr>
            <w:tcW w:w="0" w:type="auto"/>
            <w:tcBorders>
              <w:top w:val="nil"/>
              <w:left w:val="nil"/>
              <w:bottom w:val="nil"/>
              <w:right w:val="nil"/>
            </w:tcBorders>
          </w:tcPr>
          <w:p>
            <w:pPr>
              <w:autoSpaceDE w:val="0"/>
              <w:autoSpaceDN w:val="0"/>
              <w:adjustRightInd w:val="0"/>
              <w:snapToGrid w:val="0"/>
              <w:jc w:val="left"/>
              <w:rPr>
                <w:rFonts w:ascii="Times New Roman" w:hAnsi="Times New Roman" w:eastAsia="仿宋" w:cs="Times New Roman"/>
                <w:i/>
                <w:iCs/>
                <w:kern w:val="0"/>
                <w:sz w:val="18"/>
                <w:szCs w:val="18"/>
              </w:rPr>
            </w:pP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(0.069)</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(0.040)</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(0.088)</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(0.009)</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(0.118)</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(0.006)</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(0.007)</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(0.019)</w:t>
            </w:r>
          </w:p>
        </w:tc>
      </w:tr>
      <w:tr>
        <w:tblPrEx>
          <w:tblCellMar>
            <w:top w:w="0" w:type="dxa"/>
            <w:left w:w="75" w:type="dxa"/>
            <w:bottom w:w="0" w:type="dxa"/>
            <w:right w:w="75" w:type="dxa"/>
          </w:tblCellMar>
        </w:tblPrEx>
        <w:trPr>
          <w:cantSplit/>
          <w:jc w:val="center"/>
        </w:trPr>
        <w:tc>
          <w:tcPr>
            <w:tcW w:w="0" w:type="auto"/>
            <w:tcBorders>
              <w:top w:val="nil"/>
              <w:left w:val="nil"/>
              <w:bottom w:val="nil"/>
              <w:right w:val="nil"/>
            </w:tcBorders>
          </w:tcPr>
          <w:p>
            <w:pPr>
              <w:autoSpaceDE w:val="0"/>
              <w:autoSpaceDN w:val="0"/>
              <w:adjustRightInd w:val="0"/>
              <w:snapToGrid w:val="0"/>
              <w:jc w:val="left"/>
              <w:rPr>
                <w:rFonts w:ascii="Times New Roman" w:hAnsi="Times New Roman" w:eastAsia="仿宋" w:cs="Times New Roman"/>
                <w:i/>
                <w:iCs/>
                <w:kern w:val="0"/>
                <w:sz w:val="18"/>
                <w:szCs w:val="18"/>
              </w:rPr>
            </w:pPr>
            <w:r>
              <w:rPr>
                <w:rFonts w:ascii="Times New Roman" w:hAnsi="Times New Roman" w:eastAsia="仿宋" w:cs="Times New Roman"/>
                <w:i/>
                <w:iCs/>
                <w:kern w:val="0"/>
                <w:sz w:val="18"/>
                <w:szCs w:val="18"/>
              </w:rPr>
              <w:t>cps</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-0.176***</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-0.060***</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-0.161***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-0.039***</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0.174***</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-0.025***</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0.010***</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0.000</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0.024***</w:t>
            </w:r>
          </w:p>
        </w:tc>
      </w:tr>
      <w:tr>
        <w:tblPrEx>
          <w:tblCellMar>
            <w:top w:w="0" w:type="dxa"/>
            <w:left w:w="75" w:type="dxa"/>
            <w:bottom w:w="0" w:type="dxa"/>
            <w:right w:w="75" w:type="dxa"/>
          </w:tblCellMar>
        </w:tblPrEx>
        <w:trPr>
          <w:cantSplit/>
          <w:jc w:val="center"/>
        </w:trPr>
        <w:tc>
          <w:tcPr>
            <w:tcW w:w="0" w:type="auto"/>
            <w:tcBorders>
              <w:top w:val="nil"/>
              <w:left w:val="nil"/>
              <w:bottom w:val="nil"/>
              <w:right w:val="nil"/>
            </w:tcBorders>
          </w:tcPr>
          <w:p>
            <w:pPr>
              <w:autoSpaceDE w:val="0"/>
              <w:autoSpaceDN w:val="0"/>
              <w:adjustRightInd w:val="0"/>
              <w:snapToGrid w:val="0"/>
              <w:jc w:val="left"/>
              <w:rPr>
                <w:rFonts w:ascii="Times New Roman" w:hAnsi="Times New Roman" w:eastAsia="仿宋" w:cs="Times New Roman"/>
                <w:i/>
                <w:iCs/>
                <w:kern w:val="0"/>
                <w:sz w:val="18"/>
                <w:szCs w:val="18"/>
              </w:rPr>
            </w:pP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(0.031)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(0.016)</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(0.042)</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(0.052)</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(0.000)</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(0.004)</w:t>
            </w:r>
          </w:p>
        </w:tc>
      </w:tr>
      <w:tr>
        <w:tblPrEx>
          <w:tblCellMar>
            <w:top w:w="0" w:type="dxa"/>
            <w:left w:w="75" w:type="dxa"/>
            <w:bottom w:w="0" w:type="dxa"/>
            <w:right w:w="75" w:type="dxa"/>
          </w:tblCellMar>
        </w:tblPrEx>
        <w:trPr>
          <w:cantSplit/>
          <w:jc w:val="center"/>
        </w:trPr>
        <w:tc>
          <w:tcPr>
            <w:tcW w:w="0" w:type="auto"/>
            <w:tcBorders>
              <w:top w:val="nil"/>
              <w:left w:val="nil"/>
              <w:bottom w:val="nil"/>
              <w:right w:val="nil"/>
            </w:tcBorders>
          </w:tcPr>
          <w:p>
            <w:pPr>
              <w:autoSpaceDE w:val="0"/>
              <w:autoSpaceDN w:val="0"/>
              <w:adjustRightInd w:val="0"/>
              <w:snapToGrid w:val="0"/>
              <w:jc w:val="left"/>
              <w:rPr>
                <w:rFonts w:ascii="Times New Roman" w:hAnsi="Times New Roman" w:eastAsia="仿宋" w:cs="Times New Roman"/>
                <w:i/>
                <w:iCs/>
                <w:kern w:val="0"/>
                <w:sz w:val="18"/>
                <w:szCs w:val="18"/>
              </w:rPr>
            </w:pPr>
            <w:r>
              <w:rPr>
                <w:rFonts w:ascii="Times New Roman" w:hAnsi="Times New Roman" w:eastAsia="仿宋" w:cs="Times New Roman"/>
                <w:i/>
                <w:iCs/>
                <w:kern w:val="0"/>
                <w:sz w:val="18"/>
                <w:szCs w:val="18"/>
              </w:rPr>
              <w:t>soe</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0.073***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0.021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0.068**</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-0.013***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0.015***</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0.027**</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0.073***</w:t>
            </w:r>
          </w:p>
        </w:tc>
      </w:tr>
      <w:tr>
        <w:tblPrEx>
          <w:tblCellMar>
            <w:top w:w="0" w:type="dxa"/>
            <w:left w:w="75" w:type="dxa"/>
            <w:bottom w:w="0" w:type="dxa"/>
            <w:right w:w="75" w:type="dxa"/>
          </w:tblCellMar>
        </w:tblPrEx>
        <w:trPr>
          <w:cantSplit/>
          <w:jc w:val="center"/>
        </w:trPr>
        <w:tc>
          <w:tcPr>
            <w:tcW w:w="0" w:type="auto"/>
            <w:tcBorders>
              <w:top w:val="nil"/>
              <w:left w:val="nil"/>
              <w:bottom w:val="nil"/>
              <w:right w:val="nil"/>
            </w:tcBorders>
          </w:tcPr>
          <w:p>
            <w:pPr>
              <w:autoSpaceDE w:val="0"/>
              <w:autoSpaceDN w:val="0"/>
              <w:adjustRightInd w:val="0"/>
              <w:snapToGrid w:val="0"/>
              <w:jc w:val="left"/>
              <w:rPr>
                <w:rFonts w:ascii="Times New Roman" w:hAnsi="Times New Roman" w:eastAsia="仿宋" w:cs="Times New Roman"/>
                <w:i/>
                <w:iCs/>
                <w:kern w:val="0"/>
                <w:sz w:val="18"/>
                <w:szCs w:val="18"/>
              </w:rPr>
            </w:pP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(0.028)</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(0.014)</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(0.031)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(0.002)</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(0.000)</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(0.011)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(0.028)</w:t>
            </w:r>
          </w:p>
        </w:tc>
      </w:tr>
      <w:tr>
        <w:tblPrEx>
          <w:tblCellMar>
            <w:top w:w="0" w:type="dxa"/>
            <w:left w:w="75" w:type="dxa"/>
            <w:bottom w:w="0" w:type="dxa"/>
            <w:right w:w="75" w:type="dxa"/>
          </w:tblCellMar>
        </w:tblPrEx>
        <w:trPr>
          <w:cantSplit/>
          <w:jc w:val="center"/>
        </w:trPr>
        <w:tc>
          <w:tcPr>
            <w:tcW w:w="0" w:type="auto"/>
            <w:tcBorders>
              <w:top w:val="nil"/>
              <w:left w:val="nil"/>
              <w:bottom w:val="nil"/>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Observations</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328,647</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394,528</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261,741</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394,676</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324,038</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394,803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394,600</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394,803</w:t>
            </w:r>
          </w:p>
        </w:tc>
        <w:tc>
          <w:tcPr>
            <w:tcW w:w="0" w:type="auto"/>
            <w:tcBorders>
              <w:top w:val="nil"/>
              <w:left w:val="nil"/>
              <w:bottom w:val="nil"/>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52,022</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cantSplit/>
          <w:jc w:val="center"/>
        </w:trPr>
        <w:tc>
          <w:tcPr>
            <w:tcW w:w="0" w:type="auto"/>
            <w:tcBorders>
              <w:top w:val="nil"/>
              <w:left w:val="nil"/>
              <w:bottom w:val="single" w:color="auto" w:sz="6" w:space="0"/>
              <w:right w:val="nil"/>
            </w:tcBorders>
          </w:tcPr>
          <w:p>
            <w:pPr>
              <w:autoSpaceDE w:val="0"/>
              <w:autoSpaceDN w:val="0"/>
              <w:adjustRightInd w:val="0"/>
              <w:snapToGrid w:val="0"/>
              <w:jc w:val="left"/>
              <w:rPr>
                <w:rFonts w:ascii="Times New Roman" w:hAnsi="Times New Roman" w:eastAsia="仿宋" w:cs="Times New Roman"/>
                <w:kern w:val="0"/>
                <w:sz w:val="18"/>
                <w:szCs w:val="18"/>
              </w:rPr>
            </w:pPr>
            <w:r>
              <w:rPr>
                <w:rFonts w:ascii="Times New Roman" w:hAnsi="Times New Roman" w:eastAsia="仿宋" w:cs="Times New Roman"/>
                <w:kern w:val="0"/>
                <w:sz w:val="18"/>
                <w:szCs w:val="18"/>
              </w:rPr>
              <w:t>R-squared</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0.855</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0.875</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0.855</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0.705</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0.166</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0.367</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0.342</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0.658</w:t>
            </w:r>
          </w:p>
        </w:tc>
        <w:tc>
          <w:tcPr>
            <w:tcW w:w="0" w:type="auto"/>
            <w:tcBorders>
              <w:top w:val="nil"/>
              <w:left w:val="nil"/>
              <w:bottom w:val="single" w:color="auto" w:sz="6" w:space="0"/>
              <w:right w:val="nil"/>
            </w:tcBorders>
          </w:tcPr>
          <w:p>
            <w:pPr>
              <w:autoSpaceDE w:val="0"/>
              <w:autoSpaceDN w:val="0"/>
              <w:adjustRightInd w:val="0"/>
              <w:snapToGrid w:val="0"/>
              <w:jc w:val="center"/>
              <w:rPr>
                <w:rFonts w:ascii="Times New Roman" w:hAnsi="Times New Roman" w:eastAsia="仿宋" w:cs="Times New Roman"/>
                <w:kern w:val="0"/>
                <w:sz w:val="18"/>
                <w:szCs w:val="18"/>
              </w:rPr>
            </w:pPr>
            <w:r>
              <w:rPr>
                <w:rFonts w:ascii="Times New Roman" w:hAnsi="Times New Roman" w:cs="Times New Roman"/>
                <w:kern w:val="0"/>
                <w:sz w:val="18"/>
                <w:szCs w:val="18"/>
              </w:rPr>
              <w:t>0.925</w:t>
            </w:r>
          </w:p>
        </w:tc>
      </w:tr>
    </w:tbl>
    <w:p>
      <w:pPr>
        <w:jc w:val="left"/>
        <w:rPr>
          <w:rFonts w:ascii="Times New Roman" w:hAnsi="Times New Roman" w:eastAsia="仿宋" w:cs="Times New Roman"/>
          <w:sz w:val="15"/>
          <w:szCs w:val="16"/>
        </w:rPr>
      </w:pPr>
      <w:r>
        <w:rPr>
          <w:rFonts w:ascii="Times New Roman" w:hAnsi="Times New Roman" w:eastAsia="仿宋" w:cs="Times New Roman"/>
          <w:sz w:val="15"/>
          <w:szCs w:val="16"/>
        </w:rPr>
        <w:t>注：列（5）采用负二项回归模型进行估计。下同。</w:t>
      </w:r>
    </w:p>
    <w:p>
      <w:pPr>
        <w:jc w:val="left"/>
        <w:rPr>
          <w:rFonts w:ascii="Times New Roman" w:hAnsi="Times New Roman" w:eastAsia="仿宋" w:cs="Times New Roman"/>
          <w:sz w:val="15"/>
          <w:szCs w:val="16"/>
        </w:rPr>
      </w:pPr>
    </w:p>
    <w:p>
      <w:pPr>
        <w:pStyle w:val="3"/>
        <w:keepNext w:val="0"/>
        <w:keepLines w:val="0"/>
        <w:widowControl/>
        <w:spacing w:before="0" w:after="0"/>
        <w:ind w:firstLine="396" w:firstLineChars="200"/>
        <w:jc w:val="left"/>
        <w:rPr>
          <w:rFonts w:ascii="Times New Roman" w:hAnsi="Times New Roman" w:eastAsia="仿宋" w:cs="Times New Roman"/>
          <w:b/>
          <w:bCs/>
          <w:color w:val="auto"/>
          <w:kern w:val="0"/>
          <w:sz w:val="21"/>
          <w:szCs w:val="21"/>
        </w:rPr>
      </w:pPr>
      <w:bookmarkStart w:id="19" w:name="_Toc160282119"/>
      <w:bookmarkStart w:id="20" w:name="_Toc160281486"/>
      <w:r>
        <w:rPr>
          <w:rFonts w:ascii="Times New Roman" w:hAnsi="Times New Roman" w:eastAsia="仿宋" w:cs="Times New Roman"/>
          <w:b/>
          <w:bCs/>
          <w:color w:val="auto"/>
          <w:kern w:val="0"/>
          <w:sz w:val="21"/>
          <w:szCs w:val="21"/>
        </w:rPr>
        <w:t>4.企业规模异质性</w:t>
      </w:r>
      <w:bookmarkEnd w:id="19"/>
      <w:bookmarkEnd w:id="20"/>
    </w:p>
    <w:p>
      <w:pPr>
        <w:ind w:firstLine="396" w:firstLineChars="200"/>
        <w:rPr>
          <w:rFonts w:ascii="Times New Roman" w:hAnsi="Times New Roman" w:eastAsia="仿宋" w:cs="Times New Roman"/>
        </w:rPr>
      </w:pPr>
      <w:r>
        <w:rPr>
          <w:rFonts w:ascii="Times New Roman" w:hAnsi="Times New Roman" w:eastAsia="仿宋" w:cs="Times New Roman"/>
        </w:rPr>
        <w:t>表</w:t>
      </w:r>
      <w:r>
        <w:rPr>
          <w:rFonts w:hint="eastAsia" w:ascii="Times New Roman" w:hAnsi="Times New Roman" w:eastAsia="仿宋" w:cs="Times New Roman"/>
        </w:rPr>
        <w:t>II</w:t>
      </w:r>
      <w:r>
        <w:rPr>
          <w:rFonts w:ascii="Times New Roman" w:hAnsi="Times New Roman" w:eastAsia="仿宋" w:cs="Times New Roman"/>
        </w:rPr>
        <w:t>4报告了政策效果和有效机制的企业规模差异。列（1）和列（2）结果表明，规模较大企业的减污降碳协同效应更突出，但减污效应差异未通过显著检验。列（3）至列（9）中，在末端治理环节（</w:t>
      </w:r>
      <w:r>
        <w:rPr>
          <w:rFonts w:ascii="Times New Roman" w:hAnsi="Times New Roman" w:eastAsia="仿宋" w:cs="Times New Roman"/>
          <w:i/>
          <w:iCs/>
        </w:rPr>
        <w:t>dispose_rate</w:t>
      </w:r>
      <w:r>
        <w:rPr>
          <w:rFonts w:ascii="Times New Roman" w:hAnsi="Times New Roman" w:eastAsia="仿宋" w:cs="Times New Roman"/>
        </w:rPr>
        <w:t>），交互项</w:t>
      </w:r>
      <w:r>
        <w:rPr>
          <w:rFonts w:ascii="Times New Roman" w:hAnsi="Times New Roman" w:eastAsia="仿宋" w:cs="Times New Roman"/>
          <w:i/>
          <w:iCs/>
        </w:rPr>
        <w:t>cps×scale</w:t>
      </w:r>
      <w:r>
        <w:rPr>
          <w:rFonts w:ascii="Times New Roman" w:hAnsi="Times New Roman" w:eastAsia="仿宋" w:cs="Times New Roman"/>
        </w:rPr>
        <w:t>系数不显著，不同规模企业的SO</w:t>
      </w:r>
      <w:r>
        <w:rPr>
          <w:rFonts w:ascii="Times New Roman" w:hAnsi="Times New Roman" w:eastAsia="仿宋" w:cs="Times New Roman"/>
          <w:vertAlign w:val="subscript"/>
        </w:rPr>
        <w:t>2</w:t>
      </w:r>
      <w:r>
        <w:rPr>
          <w:rFonts w:ascii="Times New Roman" w:hAnsi="Times New Roman" w:eastAsia="仿宋" w:cs="Times New Roman"/>
        </w:rPr>
        <w:t>处理率未表现出显著差异。但在源头预防（ln</w:t>
      </w:r>
      <w:r>
        <w:rPr>
          <w:rFonts w:ascii="Times New Roman" w:hAnsi="Times New Roman" w:eastAsia="仿宋" w:cs="Times New Roman"/>
          <w:i/>
          <w:iCs/>
        </w:rPr>
        <w:t>coal_den</w:t>
      </w:r>
      <w:r>
        <w:rPr>
          <w:rFonts w:ascii="Times New Roman" w:hAnsi="Times New Roman" w:eastAsia="仿宋" w:cs="Times New Roman"/>
        </w:rPr>
        <w:t>）和过程控制环节（</w:t>
      </w:r>
      <w:r>
        <w:rPr>
          <w:rFonts w:ascii="Times New Roman" w:hAnsi="Times New Roman" w:eastAsia="仿宋" w:cs="Times New Roman"/>
          <w:i/>
          <w:iCs/>
        </w:rPr>
        <w:t>entry、exit、dshare</w:t>
      </w:r>
      <w:r>
        <w:rPr>
          <w:rFonts w:ascii="Times New Roman" w:hAnsi="Times New Roman" w:eastAsia="仿宋" w:cs="Times New Roman"/>
        </w:rPr>
        <w:t>），交互项系数显著，大规模企业表现出更强的能源效率提升效应、更强的企业进入效应、更弱的企业退出效应，且资源要素显著流向规模较小的企业、资源再配置效应显著。对于以上结论的解释是，工业企业能源使用存在明显的规模经济，规模较大的企业往往才能负担得起固定成本较高的先进技术设备，以及具有通过废热回收提高能源效率的能力（陈钊和陈乔伊，2019），也有研究指出，由于规模效应和合规成本异质性的存在，清洁生产标准实施提高了规模较大企业利润（龙小宁和万威，2017），这可能进一步激励企业加强环境治理。另外，规模较大的企业实力雄厚更容易获得地方政府的青睐，更容易进入市场，而且作为纳税大户也不容易退出市场。受环境规制政策影响，规模较小企业对合规成本更加敏感，存在更强的政策执行激励，并因此配置了更多污染治理资源。</w:t>
      </w:r>
    </w:p>
    <w:p>
      <w:pPr>
        <w:ind w:firstLine="336" w:firstLineChars="200"/>
        <w:jc w:val="center"/>
        <w:rPr>
          <w:rFonts w:hint="eastAsia" w:ascii="黑体" w:hAnsi="黑体" w:eastAsia="黑体" w:cs="黑体"/>
          <w:sz w:val="18"/>
          <w:szCs w:val="18"/>
        </w:rPr>
      </w:pPr>
      <w:r>
        <w:rPr>
          <w:rFonts w:hint="eastAsia" w:ascii="黑体" w:hAnsi="黑体" w:eastAsia="黑体" w:cs="黑体"/>
          <w:sz w:val="18"/>
          <w:szCs w:val="18"/>
        </w:rPr>
        <w:t>表II4 企业规模异质性</w:t>
      </w:r>
    </w:p>
    <w:tbl>
      <w:tblPr>
        <w:tblStyle w:val="24"/>
        <w:tblW w:w="6000" w:type="pct"/>
        <w:jc w:val="center"/>
        <w:tblLayout w:type="autofit"/>
        <w:tblCellMar>
          <w:top w:w="0" w:type="dxa"/>
          <w:left w:w="75" w:type="dxa"/>
          <w:bottom w:w="0" w:type="dxa"/>
          <w:right w:w="75" w:type="dxa"/>
        </w:tblCellMar>
      </w:tblPr>
      <w:tblGrid>
        <w:gridCol w:w="1129"/>
        <w:gridCol w:w="913"/>
        <w:gridCol w:w="854"/>
        <w:gridCol w:w="1485"/>
        <w:gridCol w:w="978"/>
        <w:gridCol w:w="960"/>
        <w:gridCol w:w="913"/>
        <w:gridCol w:w="913"/>
        <w:gridCol w:w="913"/>
        <w:gridCol w:w="1096"/>
      </w:tblGrid>
      <w:tr>
        <w:tblPrEx>
          <w:tblCellMar>
            <w:top w:w="0" w:type="dxa"/>
            <w:left w:w="75" w:type="dxa"/>
            <w:bottom w:w="0" w:type="dxa"/>
            <w:right w:w="75" w:type="dxa"/>
          </w:tblCellMar>
        </w:tblPrEx>
        <w:trPr>
          <w:cantSplit/>
          <w:jc w:val="center"/>
        </w:trPr>
        <w:tc>
          <w:tcPr>
            <w:tcW w:w="0" w:type="auto"/>
            <w:vMerge w:val="restart"/>
            <w:tcBorders>
              <w:top w:val="single" w:color="auto" w:sz="6" w:space="0"/>
              <w:left w:val="nil"/>
              <w:right w:val="nil"/>
            </w:tcBorders>
          </w:tcPr>
          <w:p>
            <w:pPr>
              <w:widowControl/>
              <w:autoSpaceDE w:val="0"/>
              <w:autoSpaceDN w:val="0"/>
              <w:adjustRightInd w:val="0"/>
              <w:snapToGrid w:val="0"/>
              <w:jc w:val="left"/>
              <w:rPr>
                <w:rFonts w:ascii="Times New Roman" w:hAnsi="Times New Roman" w:cs="Times New Roman"/>
                <w:kern w:val="0"/>
                <w:sz w:val="18"/>
                <w:szCs w:val="18"/>
              </w:rPr>
            </w:pPr>
            <w:r>
              <w:rPr>
                <w:rFonts w:ascii="Times New Roman" w:hAnsi="Times New Roman" w:cs="Times New Roman"/>
                <w:kern w:val="0"/>
                <w:sz w:val="18"/>
                <w:szCs w:val="18"/>
              </w:rPr>
              <w:t xml:space="preserve"> </w:t>
            </w:r>
          </w:p>
        </w:tc>
        <w:tc>
          <w:tcPr>
            <w:tcW w:w="0" w:type="auto"/>
            <w:tcBorders>
              <w:top w:val="single" w:color="auto" w:sz="6"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SO</w:t>
            </w:r>
            <w:r>
              <w:rPr>
                <w:rFonts w:ascii="Times New Roman" w:hAnsi="Times New Roman" w:cs="Times New Roman"/>
                <w:i/>
                <w:iCs/>
                <w:kern w:val="0"/>
                <w:sz w:val="18"/>
                <w:szCs w:val="18"/>
                <w:vertAlign w:val="subscript"/>
              </w:rPr>
              <w:t>2</w:t>
            </w:r>
          </w:p>
        </w:tc>
        <w:tc>
          <w:tcPr>
            <w:tcW w:w="0" w:type="auto"/>
            <w:tcBorders>
              <w:top w:val="single" w:color="auto" w:sz="6"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CO</w:t>
            </w:r>
            <w:r>
              <w:rPr>
                <w:rFonts w:ascii="Times New Roman" w:hAnsi="Times New Roman" w:cs="Times New Roman"/>
                <w:i/>
                <w:iCs/>
                <w:kern w:val="0"/>
                <w:sz w:val="18"/>
                <w:szCs w:val="18"/>
                <w:vertAlign w:val="subscript"/>
              </w:rPr>
              <w:t>2</w:t>
            </w:r>
          </w:p>
        </w:tc>
        <w:tc>
          <w:tcPr>
            <w:tcW w:w="0" w:type="auto"/>
            <w:tcBorders>
              <w:top w:val="single" w:color="auto" w:sz="6"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SO</w:t>
            </w:r>
            <w:r>
              <w:rPr>
                <w:rFonts w:ascii="Times New Roman" w:hAnsi="Times New Roman" w:cs="Times New Roman"/>
                <w:i/>
                <w:iCs/>
                <w:kern w:val="0"/>
                <w:sz w:val="18"/>
                <w:szCs w:val="18"/>
                <w:vertAlign w:val="subscript"/>
              </w:rPr>
              <w:t>2</w:t>
            </w:r>
            <w:r>
              <w:rPr>
                <w:rFonts w:ascii="Times New Roman" w:hAnsi="Times New Roman" w:cs="Times New Roman"/>
                <w:i/>
                <w:iCs/>
                <w:kern w:val="0"/>
                <w:sz w:val="18"/>
                <w:szCs w:val="18"/>
              </w:rPr>
              <w:t>_production</w:t>
            </w:r>
          </w:p>
        </w:tc>
        <w:tc>
          <w:tcPr>
            <w:tcW w:w="0" w:type="auto"/>
            <w:tcBorders>
              <w:top w:val="single" w:color="auto" w:sz="6"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ln</w:t>
            </w:r>
            <w:r>
              <w:rPr>
                <w:rFonts w:ascii="Times New Roman" w:hAnsi="Times New Roman" w:cs="Times New Roman"/>
                <w:i/>
                <w:iCs/>
                <w:kern w:val="0"/>
                <w:sz w:val="18"/>
                <w:szCs w:val="18"/>
              </w:rPr>
              <w:t>coal_den</w:t>
            </w:r>
          </w:p>
        </w:tc>
        <w:tc>
          <w:tcPr>
            <w:tcW w:w="0" w:type="auto"/>
            <w:tcBorders>
              <w:top w:val="single" w:color="auto" w:sz="6"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i/>
                <w:iCs/>
                <w:kern w:val="0"/>
                <w:sz w:val="18"/>
                <w:szCs w:val="18"/>
              </w:rPr>
              <w:t>three_total</w:t>
            </w:r>
          </w:p>
        </w:tc>
        <w:tc>
          <w:tcPr>
            <w:tcW w:w="0" w:type="auto"/>
            <w:tcBorders>
              <w:top w:val="single" w:color="auto" w:sz="6"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i/>
                <w:iCs/>
                <w:kern w:val="0"/>
                <w:sz w:val="18"/>
                <w:szCs w:val="18"/>
              </w:rPr>
              <w:t>entry</w:t>
            </w:r>
          </w:p>
        </w:tc>
        <w:tc>
          <w:tcPr>
            <w:tcW w:w="0" w:type="auto"/>
            <w:tcBorders>
              <w:top w:val="single" w:color="auto" w:sz="6"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i/>
                <w:iCs/>
                <w:kern w:val="0"/>
                <w:sz w:val="18"/>
                <w:szCs w:val="18"/>
              </w:rPr>
              <w:t>exit</w:t>
            </w:r>
          </w:p>
        </w:tc>
        <w:tc>
          <w:tcPr>
            <w:tcW w:w="0" w:type="auto"/>
            <w:tcBorders>
              <w:top w:val="single" w:color="auto" w:sz="6"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i/>
                <w:iCs/>
                <w:kern w:val="0"/>
                <w:sz w:val="18"/>
                <w:szCs w:val="18"/>
              </w:rPr>
              <w:t>dshare</w:t>
            </w:r>
          </w:p>
        </w:tc>
        <w:tc>
          <w:tcPr>
            <w:tcW w:w="0" w:type="auto"/>
            <w:tcBorders>
              <w:top w:val="single" w:color="auto" w:sz="6"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i/>
                <w:iCs/>
                <w:kern w:val="0"/>
                <w:sz w:val="18"/>
                <w:szCs w:val="18"/>
              </w:rPr>
              <w:t>dispose_rate</w:t>
            </w:r>
          </w:p>
        </w:tc>
      </w:tr>
      <w:tr>
        <w:tblPrEx>
          <w:tblCellMar>
            <w:top w:w="0" w:type="dxa"/>
            <w:left w:w="75" w:type="dxa"/>
            <w:bottom w:w="0" w:type="dxa"/>
            <w:right w:w="75" w:type="dxa"/>
          </w:tblCellMar>
        </w:tblPrEx>
        <w:trPr>
          <w:cantSplit/>
          <w:jc w:val="center"/>
        </w:trPr>
        <w:tc>
          <w:tcPr>
            <w:tcW w:w="0" w:type="auto"/>
            <w:vMerge w:val="continue"/>
            <w:tcBorders>
              <w:left w:val="nil"/>
              <w:bottom w:val="single" w:color="auto" w:sz="4" w:space="0"/>
              <w:right w:val="nil"/>
            </w:tcBorders>
          </w:tcPr>
          <w:p>
            <w:pPr>
              <w:widowControl/>
              <w:autoSpaceDE w:val="0"/>
              <w:autoSpaceDN w:val="0"/>
              <w:adjustRightInd w:val="0"/>
              <w:snapToGrid w:val="0"/>
              <w:jc w:val="left"/>
              <w:rPr>
                <w:rFonts w:ascii="Times New Roman" w:hAnsi="Times New Roman" w:cs="Times New Roman"/>
                <w:kern w:val="0"/>
                <w:sz w:val="18"/>
                <w:szCs w:val="18"/>
              </w:rPr>
            </w:pPr>
          </w:p>
        </w:tc>
        <w:tc>
          <w:tcPr>
            <w:tcW w:w="0" w:type="auto"/>
            <w:tcBorders>
              <w:top w:val="single" w:color="auto" w:sz="4"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0" w:type="auto"/>
            <w:tcBorders>
              <w:top w:val="single" w:color="auto" w:sz="4"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0" w:type="auto"/>
            <w:tcBorders>
              <w:top w:val="single" w:color="auto" w:sz="4"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0" w:type="auto"/>
            <w:tcBorders>
              <w:top w:val="single" w:color="auto" w:sz="4"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0" w:type="auto"/>
            <w:tcBorders>
              <w:top w:val="single" w:color="auto" w:sz="4"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0" w:type="auto"/>
            <w:tcBorders>
              <w:top w:val="single" w:color="auto" w:sz="4"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(6)</w:t>
            </w:r>
          </w:p>
        </w:tc>
        <w:tc>
          <w:tcPr>
            <w:tcW w:w="0" w:type="auto"/>
            <w:tcBorders>
              <w:top w:val="single" w:color="auto" w:sz="4"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(7)</w:t>
            </w:r>
          </w:p>
        </w:tc>
        <w:tc>
          <w:tcPr>
            <w:tcW w:w="0" w:type="auto"/>
            <w:tcBorders>
              <w:top w:val="single" w:color="auto" w:sz="4"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0" w:type="auto"/>
            <w:tcBorders>
              <w:top w:val="single" w:color="auto" w:sz="4" w:space="0"/>
              <w:left w:val="nil"/>
              <w:bottom w:val="single" w:color="auto" w:sz="4"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(9)</w:t>
            </w:r>
          </w:p>
        </w:tc>
      </w:tr>
      <w:tr>
        <w:tblPrEx>
          <w:tblCellMar>
            <w:top w:w="0" w:type="dxa"/>
            <w:left w:w="75" w:type="dxa"/>
            <w:bottom w:w="0" w:type="dxa"/>
            <w:right w:w="75" w:type="dxa"/>
          </w:tblCellMar>
        </w:tblPrEx>
        <w:trPr>
          <w:cantSplit/>
          <w:jc w:val="center"/>
        </w:trPr>
        <w:tc>
          <w:tcPr>
            <w:tcW w:w="0" w:type="auto"/>
            <w:tcBorders>
              <w:top w:val="single" w:color="auto" w:sz="4" w:space="0"/>
              <w:left w:val="nil"/>
              <w:bottom w:val="nil"/>
              <w:right w:val="nil"/>
            </w:tcBorders>
          </w:tcPr>
          <w:p>
            <w:pPr>
              <w:widowControl/>
              <w:autoSpaceDE w:val="0"/>
              <w:autoSpaceDN w:val="0"/>
              <w:adjustRightInd w:val="0"/>
              <w:snapToGrid w:val="0"/>
              <w:jc w:val="left"/>
              <w:rPr>
                <w:rFonts w:ascii="Times New Roman" w:hAnsi="Times New Roman" w:cs="Times New Roman"/>
                <w:i/>
                <w:iCs/>
                <w:kern w:val="0"/>
                <w:sz w:val="18"/>
                <w:szCs w:val="18"/>
              </w:rPr>
            </w:pPr>
            <w:r>
              <w:rPr>
                <w:rFonts w:ascii="Times New Roman" w:hAnsi="Times New Roman" w:cs="Times New Roman"/>
                <w:i/>
                <w:iCs/>
                <w:kern w:val="0"/>
                <w:sz w:val="18"/>
                <w:szCs w:val="18"/>
              </w:rPr>
              <w:t>cps×scale</w:t>
            </w:r>
          </w:p>
        </w:tc>
        <w:tc>
          <w:tcPr>
            <w:tcW w:w="0" w:type="auto"/>
            <w:tcBorders>
              <w:top w:val="single" w:color="auto" w:sz="4" w:space="0"/>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-0.039</w:t>
            </w:r>
          </w:p>
        </w:tc>
        <w:tc>
          <w:tcPr>
            <w:tcW w:w="0" w:type="auto"/>
            <w:tcBorders>
              <w:top w:val="single" w:color="auto" w:sz="4" w:space="0"/>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-0.045**</w:t>
            </w:r>
          </w:p>
        </w:tc>
        <w:tc>
          <w:tcPr>
            <w:tcW w:w="0" w:type="auto"/>
            <w:tcBorders>
              <w:top w:val="single" w:color="auto" w:sz="4" w:space="0"/>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-0.014</w:t>
            </w:r>
          </w:p>
        </w:tc>
        <w:tc>
          <w:tcPr>
            <w:tcW w:w="0" w:type="auto"/>
            <w:tcBorders>
              <w:top w:val="single" w:color="auto" w:sz="4" w:space="0"/>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-0.032***</w:t>
            </w:r>
          </w:p>
        </w:tc>
        <w:tc>
          <w:tcPr>
            <w:tcW w:w="0" w:type="auto"/>
            <w:tcBorders>
              <w:top w:val="single" w:color="auto" w:sz="4" w:space="0"/>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0.017</w:t>
            </w:r>
          </w:p>
        </w:tc>
        <w:tc>
          <w:tcPr>
            <w:tcW w:w="0" w:type="auto"/>
            <w:tcBorders>
              <w:top w:val="single" w:color="auto" w:sz="4" w:space="0"/>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0.033***</w:t>
            </w:r>
          </w:p>
        </w:tc>
        <w:tc>
          <w:tcPr>
            <w:tcW w:w="0" w:type="auto"/>
            <w:tcBorders>
              <w:top w:val="single" w:color="auto" w:sz="4" w:space="0"/>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-0.039***</w:t>
            </w:r>
          </w:p>
        </w:tc>
        <w:tc>
          <w:tcPr>
            <w:tcW w:w="0" w:type="auto"/>
            <w:tcBorders>
              <w:top w:val="single" w:color="auto" w:sz="4" w:space="0"/>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-0.001***</w:t>
            </w:r>
          </w:p>
        </w:tc>
        <w:tc>
          <w:tcPr>
            <w:tcW w:w="0" w:type="auto"/>
            <w:tcBorders>
              <w:top w:val="single" w:color="auto" w:sz="4" w:space="0"/>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0.009</w:t>
            </w:r>
          </w:p>
        </w:tc>
      </w:tr>
      <w:tr>
        <w:tblPrEx>
          <w:tblCellMar>
            <w:top w:w="0" w:type="dxa"/>
            <w:left w:w="75" w:type="dxa"/>
            <w:bottom w:w="0" w:type="dxa"/>
            <w:right w:w="75" w:type="dxa"/>
          </w:tblCellMar>
        </w:tblPrEx>
        <w:trPr>
          <w:cantSplit/>
          <w:jc w:val="center"/>
        </w:trPr>
        <w:tc>
          <w:tcPr>
            <w:tcW w:w="0" w:type="auto"/>
            <w:tcBorders>
              <w:top w:val="nil"/>
              <w:left w:val="nil"/>
              <w:bottom w:val="nil"/>
              <w:right w:val="nil"/>
            </w:tcBorders>
          </w:tcPr>
          <w:p>
            <w:pPr>
              <w:widowControl/>
              <w:autoSpaceDE w:val="0"/>
              <w:autoSpaceDN w:val="0"/>
              <w:adjustRightInd w:val="0"/>
              <w:snapToGrid w:val="0"/>
              <w:jc w:val="left"/>
              <w:rPr>
                <w:rFonts w:ascii="Times New Roman" w:hAnsi="Times New Roman" w:cs="Times New Roman"/>
                <w:i/>
                <w:iCs/>
                <w:kern w:val="0"/>
                <w:sz w:val="18"/>
                <w:szCs w:val="18"/>
              </w:rPr>
            </w:pP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(0.037)</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(0.022)</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(0.051)</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(0.004)</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(0.033)</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(0.003)</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(0.004)</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(0.000)</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(0.009)</w:t>
            </w:r>
          </w:p>
        </w:tc>
      </w:tr>
      <w:tr>
        <w:tblPrEx>
          <w:tblCellMar>
            <w:top w:w="0" w:type="dxa"/>
            <w:left w:w="75" w:type="dxa"/>
            <w:bottom w:w="0" w:type="dxa"/>
            <w:right w:w="75" w:type="dxa"/>
          </w:tblCellMar>
        </w:tblPrEx>
        <w:trPr>
          <w:cantSplit/>
          <w:jc w:val="center"/>
        </w:trPr>
        <w:tc>
          <w:tcPr>
            <w:tcW w:w="0" w:type="auto"/>
            <w:tcBorders>
              <w:top w:val="nil"/>
              <w:left w:val="nil"/>
              <w:bottom w:val="nil"/>
              <w:right w:val="nil"/>
            </w:tcBorders>
          </w:tcPr>
          <w:p>
            <w:pPr>
              <w:widowControl/>
              <w:autoSpaceDE w:val="0"/>
              <w:autoSpaceDN w:val="0"/>
              <w:adjustRightInd w:val="0"/>
              <w:snapToGrid w:val="0"/>
              <w:jc w:val="left"/>
              <w:rPr>
                <w:rFonts w:ascii="Times New Roman" w:hAnsi="Times New Roman" w:cs="Times New Roman"/>
                <w:i/>
                <w:iCs/>
                <w:kern w:val="0"/>
                <w:sz w:val="18"/>
                <w:szCs w:val="18"/>
              </w:rPr>
            </w:pPr>
            <w:r>
              <w:rPr>
                <w:rFonts w:ascii="Times New Roman" w:hAnsi="Times New Roman" w:cs="Times New Roman"/>
                <w:i/>
                <w:iCs/>
                <w:kern w:val="0"/>
                <w:sz w:val="18"/>
                <w:szCs w:val="18"/>
              </w:rPr>
              <w:t>cps</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-0.149***</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-0.042**</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-0.153***</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-0.021***</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-0.090</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-0.039***</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0.030***</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0.000**</w:t>
            </w:r>
          </w:p>
        </w:tc>
        <w:tc>
          <w:tcPr>
            <w:tcW w:w="0" w:type="auto"/>
            <w:tcBorders>
              <w:top w:val="nil"/>
              <w:left w:val="nil"/>
              <w:bottom w:val="nil"/>
              <w:right w:val="nil"/>
            </w:tcBorders>
          </w:tcPr>
          <w:p>
            <w:pPr>
              <w:widowControl/>
              <w:autoSpaceDE w:val="0"/>
              <w:autoSpaceDN w:val="0"/>
              <w:adjustRightInd w:val="0"/>
              <w:snapToGrid w:val="0"/>
              <w:rPr>
                <w:rFonts w:ascii="Times New Roman" w:hAnsi="Times New Roman" w:cs="Times New Roman"/>
                <w:kern w:val="0"/>
                <w:sz w:val="18"/>
                <w:szCs w:val="18"/>
              </w:rPr>
            </w:pPr>
            <w:r>
              <w:rPr>
                <w:rFonts w:ascii="Times New Roman" w:hAnsi="Times New Roman" w:cs="Times New Roman"/>
                <w:kern w:val="0"/>
                <w:sz w:val="18"/>
                <w:szCs w:val="18"/>
              </w:rPr>
              <w:t>0.036***</w:t>
            </w:r>
          </w:p>
        </w:tc>
      </w:tr>
      <w:tr>
        <w:tblPrEx>
          <w:tblCellMar>
            <w:top w:w="0" w:type="dxa"/>
            <w:left w:w="75" w:type="dxa"/>
            <w:bottom w:w="0" w:type="dxa"/>
            <w:right w:w="75" w:type="dxa"/>
          </w:tblCellMar>
        </w:tblPrEx>
        <w:trPr>
          <w:cantSplit/>
          <w:jc w:val="center"/>
        </w:trPr>
        <w:tc>
          <w:tcPr>
            <w:tcW w:w="0" w:type="auto"/>
            <w:tcBorders>
              <w:top w:val="nil"/>
              <w:left w:val="nil"/>
              <w:bottom w:val="nil"/>
              <w:right w:val="nil"/>
            </w:tcBorders>
          </w:tcPr>
          <w:p>
            <w:pPr>
              <w:widowControl/>
              <w:autoSpaceDE w:val="0"/>
              <w:autoSpaceDN w:val="0"/>
              <w:adjustRightInd w:val="0"/>
              <w:snapToGrid w:val="0"/>
              <w:jc w:val="left"/>
              <w:rPr>
                <w:rFonts w:ascii="Times New Roman" w:hAnsi="Times New Roman" w:cs="Times New Roman"/>
                <w:i/>
                <w:iCs/>
                <w:kern w:val="0"/>
                <w:sz w:val="18"/>
                <w:szCs w:val="18"/>
              </w:rPr>
            </w:pP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(0.036)</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(0.019)</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(0.050)</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(0.003)</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(0.210)</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(0.003)</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(0.004)</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(0.000)</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(0.007)</w:t>
            </w:r>
          </w:p>
        </w:tc>
      </w:tr>
      <w:tr>
        <w:tblPrEx>
          <w:tblCellMar>
            <w:top w:w="0" w:type="dxa"/>
            <w:left w:w="75" w:type="dxa"/>
            <w:bottom w:w="0" w:type="dxa"/>
            <w:right w:w="75" w:type="dxa"/>
          </w:tblCellMar>
        </w:tblPrEx>
        <w:trPr>
          <w:cantSplit/>
          <w:jc w:val="center"/>
        </w:trPr>
        <w:tc>
          <w:tcPr>
            <w:tcW w:w="0" w:type="auto"/>
            <w:tcBorders>
              <w:top w:val="nil"/>
              <w:left w:val="nil"/>
              <w:bottom w:val="nil"/>
              <w:right w:val="nil"/>
            </w:tcBorders>
          </w:tcPr>
          <w:p>
            <w:pPr>
              <w:widowControl/>
              <w:autoSpaceDE w:val="0"/>
              <w:autoSpaceDN w:val="0"/>
              <w:adjustRightInd w:val="0"/>
              <w:snapToGrid w:val="0"/>
              <w:jc w:val="left"/>
              <w:rPr>
                <w:rFonts w:ascii="Times New Roman" w:hAnsi="Times New Roman" w:cs="Times New Roman"/>
                <w:i/>
                <w:iCs/>
                <w:kern w:val="0"/>
                <w:sz w:val="18"/>
                <w:szCs w:val="18"/>
              </w:rPr>
            </w:pPr>
            <w:r>
              <w:rPr>
                <w:rFonts w:ascii="Times New Roman" w:hAnsi="Times New Roman" w:cs="Times New Roman"/>
                <w:i/>
                <w:iCs/>
                <w:kern w:val="0"/>
                <w:sz w:val="18"/>
                <w:szCs w:val="18"/>
              </w:rPr>
              <w:t>scale</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0.023</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0.031***</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0.039*</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0.001</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0.251***</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-0.006***</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0.001</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-0.001***</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-0.009</w:t>
            </w:r>
          </w:p>
        </w:tc>
      </w:tr>
      <w:tr>
        <w:tblPrEx>
          <w:tblCellMar>
            <w:top w:w="0" w:type="dxa"/>
            <w:left w:w="75" w:type="dxa"/>
            <w:bottom w:w="0" w:type="dxa"/>
            <w:right w:w="75" w:type="dxa"/>
          </w:tblCellMar>
        </w:tblPrEx>
        <w:trPr>
          <w:cantSplit/>
          <w:jc w:val="center"/>
        </w:trPr>
        <w:tc>
          <w:tcPr>
            <w:tcW w:w="0" w:type="auto"/>
            <w:tcBorders>
              <w:top w:val="nil"/>
              <w:left w:val="nil"/>
              <w:bottom w:val="nil"/>
              <w:right w:val="nil"/>
            </w:tcBorders>
          </w:tcPr>
          <w:p>
            <w:pPr>
              <w:widowControl/>
              <w:autoSpaceDE w:val="0"/>
              <w:autoSpaceDN w:val="0"/>
              <w:adjustRightInd w:val="0"/>
              <w:snapToGrid w:val="0"/>
              <w:jc w:val="left"/>
              <w:rPr>
                <w:rFonts w:ascii="Times New Roman" w:hAnsi="Times New Roman" w:cs="Times New Roman"/>
                <w:i/>
                <w:iCs/>
                <w:kern w:val="0"/>
                <w:sz w:val="18"/>
                <w:szCs w:val="18"/>
              </w:rPr>
            </w:pP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(0.019)</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(0.011)</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(0.024)</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(0.002)</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(0.003)</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(0.002)</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(0.002)</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(0.000)</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(0.013)</w:t>
            </w:r>
          </w:p>
        </w:tc>
      </w:tr>
      <w:tr>
        <w:tblPrEx>
          <w:tblCellMar>
            <w:top w:w="0" w:type="dxa"/>
            <w:left w:w="75" w:type="dxa"/>
            <w:bottom w:w="0" w:type="dxa"/>
            <w:right w:w="75" w:type="dxa"/>
          </w:tblCellMar>
        </w:tblPrEx>
        <w:trPr>
          <w:cantSplit/>
          <w:jc w:val="center"/>
        </w:trPr>
        <w:tc>
          <w:tcPr>
            <w:tcW w:w="0" w:type="auto"/>
            <w:tcBorders>
              <w:top w:val="nil"/>
              <w:left w:val="nil"/>
              <w:bottom w:val="nil"/>
              <w:right w:val="nil"/>
            </w:tcBorders>
          </w:tcPr>
          <w:p>
            <w:pPr>
              <w:widowControl/>
              <w:autoSpaceDE w:val="0"/>
              <w:autoSpaceDN w:val="0"/>
              <w:adjustRightInd w:val="0"/>
              <w:snapToGrid w:val="0"/>
              <w:jc w:val="left"/>
              <w:rPr>
                <w:rFonts w:ascii="Times New Roman" w:hAnsi="Times New Roman" w:cs="Times New Roman"/>
                <w:kern w:val="0"/>
                <w:sz w:val="18"/>
                <w:szCs w:val="18"/>
              </w:rPr>
            </w:pPr>
            <w:r>
              <w:rPr>
                <w:rFonts w:ascii="Times New Roman" w:hAnsi="Times New Roman" w:cs="Times New Roman"/>
                <w:kern w:val="0"/>
                <w:sz w:val="18"/>
                <w:szCs w:val="18"/>
              </w:rPr>
              <w:t>Observations</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328,647</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394,528</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261,858</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394,676</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324,038</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394,803</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394,600</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394,803</w:t>
            </w:r>
          </w:p>
        </w:tc>
        <w:tc>
          <w:tcPr>
            <w:tcW w:w="0" w:type="auto"/>
            <w:tcBorders>
              <w:top w:val="nil"/>
              <w:left w:val="nil"/>
              <w:bottom w:val="nil"/>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52,022</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cantSplit/>
          <w:jc w:val="center"/>
        </w:trPr>
        <w:tc>
          <w:tcPr>
            <w:tcW w:w="0" w:type="auto"/>
            <w:tcBorders>
              <w:top w:val="nil"/>
              <w:left w:val="nil"/>
              <w:bottom w:val="single" w:color="auto" w:sz="6" w:space="0"/>
              <w:right w:val="nil"/>
            </w:tcBorders>
          </w:tcPr>
          <w:p>
            <w:pPr>
              <w:widowControl/>
              <w:autoSpaceDE w:val="0"/>
              <w:autoSpaceDN w:val="0"/>
              <w:adjustRightInd w:val="0"/>
              <w:snapToGrid w:val="0"/>
              <w:jc w:val="left"/>
              <w:rPr>
                <w:rFonts w:ascii="Times New Roman" w:hAnsi="Times New Roman" w:cs="Times New Roman"/>
                <w:kern w:val="0"/>
                <w:sz w:val="18"/>
                <w:szCs w:val="18"/>
              </w:rPr>
            </w:pPr>
            <w:r>
              <w:rPr>
                <w:rFonts w:ascii="Times New Roman" w:hAnsi="Times New Roman" w:cs="Times New Roman"/>
                <w:kern w:val="0"/>
                <w:sz w:val="18"/>
                <w:szCs w:val="18"/>
              </w:rPr>
              <w:t>R-squared</w:t>
            </w:r>
          </w:p>
        </w:tc>
        <w:tc>
          <w:tcPr>
            <w:tcW w:w="0" w:type="auto"/>
            <w:tcBorders>
              <w:top w:val="nil"/>
              <w:left w:val="nil"/>
              <w:bottom w:val="single" w:color="auto" w:sz="6"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0.855</w:t>
            </w:r>
          </w:p>
        </w:tc>
        <w:tc>
          <w:tcPr>
            <w:tcW w:w="0" w:type="auto"/>
            <w:tcBorders>
              <w:top w:val="nil"/>
              <w:left w:val="nil"/>
              <w:bottom w:val="single" w:color="auto" w:sz="6"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0.875</w:t>
            </w:r>
          </w:p>
        </w:tc>
        <w:tc>
          <w:tcPr>
            <w:tcW w:w="0" w:type="auto"/>
            <w:tcBorders>
              <w:top w:val="nil"/>
              <w:left w:val="nil"/>
              <w:bottom w:val="single" w:color="auto" w:sz="6"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0.846</w:t>
            </w:r>
          </w:p>
        </w:tc>
        <w:tc>
          <w:tcPr>
            <w:tcW w:w="0" w:type="auto"/>
            <w:tcBorders>
              <w:top w:val="nil"/>
              <w:left w:val="nil"/>
              <w:bottom w:val="single" w:color="auto" w:sz="6"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0.705</w:t>
            </w:r>
          </w:p>
        </w:tc>
        <w:tc>
          <w:tcPr>
            <w:tcW w:w="0" w:type="auto"/>
            <w:tcBorders>
              <w:top w:val="nil"/>
              <w:left w:val="nil"/>
              <w:bottom w:val="single" w:color="auto" w:sz="6"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0.169</w:t>
            </w:r>
          </w:p>
        </w:tc>
        <w:tc>
          <w:tcPr>
            <w:tcW w:w="0" w:type="auto"/>
            <w:tcBorders>
              <w:top w:val="nil"/>
              <w:left w:val="nil"/>
              <w:bottom w:val="single" w:color="auto" w:sz="6"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0.367</w:t>
            </w:r>
          </w:p>
        </w:tc>
        <w:tc>
          <w:tcPr>
            <w:tcW w:w="0" w:type="auto"/>
            <w:tcBorders>
              <w:top w:val="nil"/>
              <w:left w:val="nil"/>
              <w:bottom w:val="single" w:color="auto" w:sz="6"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0.342</w:t>
            </w:r>
          </w:p>
        </w:tc>
        <w:tc>
          <w:tcPr>
            <w:tcW w:w="0" w:type="auto"/>
            <w:tcBorders>
              <w:top w:val="nil"/>
              <w:left w:val="nil"/>
              <w:bottom w:val="single" w:color="auto" w:sz="6"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0.658</w:t>
            </w:r>
          </w:p>
        </w:tc>
        <w:tc>
          <w:tcPr>
            <w:tcW w:w="0" w:type="auto"/>
            <w:tcBorders>
              <w:top w:val="nil"/>
              <w:left w:val="nil"/>
              <w:bottom w:val="single" w:color="auto" w:sz="6" w:space="0"/>
              <w:right w:val="nil"/>
            </w:tcBorders>
          </w:tcPr>
          <w:p>
            <w:pPr>
              <w:widowControl/>
              <w:autoSpaceDE w:val="0"/>
              <w:autoSpaceDN w:val="0"/>
              <w:adjustRightInd w:val="0"/>
              <w:snapToGrid w:val="0"/>
              <w:jc w:val="center"/>
              <w:rPr>
                <w:rFonts w:ascii="Times New Roman" w:hAnsi="Times New Roman" w:cs="Times New Roman"/>
                <w:kern w:val="0"/>
                <w:sz w:val="18"/>
                <w:szCs w:val="18"/>
              </w:rPr>
            </w:pPr>
            <w:r>
              <w:rPr>
                <w:rFonts w:ascii="Times New Roman" w:hAnsi="Times New Roman" w:cs="Times New Roman"/>
                <w:kern w:val="0"/>
                <w:sz w:val="18"/>
                <w:szCs w:val="18"/>
              </w:rPr>
              <w:t>0.925</w:t>
            </w:r>
          </w:p>
        </w:tc>
      </w:tr>
    </w:tbl>
    <w:p>
      <w:pPr>
        <w:tabs>
          <w:tab w:val="left" w:pos="3564"/>
        </w:tabs>
        <w:rPr>
          <w:rFonts w:ascii="Times New Roman" w:hAnsi="Times New Roman" w:eastAsia="仿宋" w:cs="Times New Roman"/>
          <w:sz w:val="15"/>
          <w:szCs w:val="15"/>
        </w:rPr>
      </w:pPr>
    </w:p>
    <w:p>
      <w:pPr>
        <w:pStyle w:val="47"/>
        <w:adjustRightInd w:val="0"/>
        <w:snapToGrid w:val="0"/>
        <w:ind w:left="440"/>
        <w:contextualSpacing w:val="0"/>
        <w:jc w:val="center"/>
        <w:rPr>
          <w:rFonts w:hint="eastAsia" w:ascii="楷体" w:hAnsi="楷体" w:eastAsia="楷体" w:cs="楷体"/>
          <w:sz w:val="28"/>
          <w:szCs w:val="28"/>
          <w:shd w:val="clear" w:color="auto" w:fill="FFFFFF"/>
        </w:rPr>
      </w:pPr>
      <w:r>
        <w:rPr>
          <w:rFonts w:hint="eastAsia" w:ascii="楷体" w:hAnsi="楷体" w:eastAsia="楷体" w:cs="楷体"/>
          <w:color w:val="000000"/>
          <w:sz w:val="28"/>
          <w:szCs w:val="28"/>
        </w:rPr>
        <w:t>参考文献</w:t>
      </w:r>
    </w:p>
    <w:p>
      <w:pPr>
        <w:numPr>
          <w:ilvl w:val="0"/>
          <w:numId w:val="1"/>
        </w:numPr>
        <w:adjustRightInd w:val="0"/>
        <w:snapToGrid w:val="0"/>
        <w:ind w:left="425" w:leftChars="0" w:hanging="425" w:firstLineChars="0"/>
        <w:jc w:val="left"/>
        <w:rPr>
          <w:rFonts w:ascii="Times New Roman" w:hAnsi="Times New Roman" w:eastAsia="仿宋" w:cs="Times New Roman"/>
          <w:sz w:val="18"/>
          <w:szCs w:val="18"/>
          <w:shd w:val="clear" w:color="auto" w:fill="FFFFFF"/>
        </w:rPr>
      </w:pPr>
      <w:r>
        <w:rPr>
          <w:rFonts w:ascii="Times New Roman" w:hAnsi="Times New Roman" w:eastAsia="仿宋" w:cs="Times New Roman"/>
          <w:sz w:val="18"/>
          <w:szCs w:val="18"/>
          <w:shd w:val="clear" w:color="auto" w:fill="FFFFFF"/>
        </w:rPr>
        <w:t>Li, M., W. Du, and S. Tang, “Assessing the Impact of Environmental Regulation and Environmental Co-Governance on Pollution Transfer: Micro-Evidence from China”,</w:t>
      </w:r>
      <w:r>
        <w:rPr>
          <w:rFonts w:ascii="Times New Roman" w:hAnsi="Times New Roman" w:eastAsia="仿宋" w:cs="Times New Roman"/>
          <w:i/>
          <w:iCs/>
          <w:sz w:val="18"/>
          <w:szCs w:val="18"/>
          <w:shd w:val="clear" w:color="auto" w:fill="FFFFFF"/>
        </w:rPr>
        <w:t xml:space="preserve"> Environmental Impact Assessment Review</w:t>
      </w:r>
      <w:r>
        <w:rPr>
          <w:rFonts w:ascii="Times New Roman" w:hAnsi="Times New Roman" w:eastAsia="仿宋" w:cs="Times New Roman"/>
          <w:sz w:val="18"/>
          <w:szCs w:val="18"/>
          <w:shd w:val="clear" w:color="auto" w:fill="FFFFFF"/>
        </w:rPr>
        <w:t xml:space="preserve">,2021,86, 106467. </w:t>
      </w:r>
    </w:p>
    <w:p>
      <w:pPr>
        <w:numPr>
          <w:ilvl w:val="0"/>
          <w:numId w:val="1"/>
        </w:numPr>
        <w:adjustRightInd w:val="0"/>
        <w:snapToGrid w:val="0"/>
        <w:ind w:left="425" w:leftChars="0" w:hanging="425" w:firstLineChars="0"/>
        <w:jc w:val="left"/>
        <w:rPr>
          <w:rFonts w:ascii="Times New Roman" w:hAnsi="Times New Roman" w:eastAsia="仿宋" w:cs="Times New Roman"/>
          <w:sz w:val="18"/>
          <w:szCs w:val="18"/>
          <w:shd w:val="clear" w:color="auto" w:fill="FFFFFF"/>
        </w:rPr>
      </w:pPr>
      <w:r>
        <w:rPr>
          <w:rFonts w:ascii="Times New Roman" w:hAnsi="Times New Roman" w:eastAsia="仿宋" w:cs="Times New Roman"/>
          <w:sz w:val="18"/>
          <w:szCs w:val="18"/>
          <w:shd w:val="clear" w:color="auto" w:fill="FFFFFF"/>
        </w:rPr>
        <w:t xml:space="preserve">Lu, Y., Z.Tao, and L. Zhu, “Identifying FDI Spillovers”, </w:t>
      </w:r>
      <w:r>
        <w:rPr>
          <w:rFonts w:ascii="Times New Roman" w:hAnsi="Times New Roman" w:eastAsia="仿宋" w:cs="Times New Roman"/>
          <w:i/>
          <w:iCs/>
          <w:sz w:val="18"/>
          <w:szCs w:val="18"/>
          <w:shd w:val="clear" w:color="auto" w:fill="FFFFFF"/>
        </w:rPr>
        <w:t>Journal of International Economics</w:t>
      </w:r>
      <w:r>
        <w:rPr>
          <w:rFonts w:ascii="Times New Roman" w:hAnsi="Times New Roman" w:eastAsia="仿宋" w:cs="Times New Roman"/>
          <w:sz w:val="18"/>
          <w:szCs w:val="18"/>
          <w:shd w:val="clear" w:color="auto" w:fill="FFFFFF"/>
        </w:rPr>
        <w:t>, 2017,107, 75-90.</w:t>
      </w:r>
    </w:p>
    <w:p>
      <w:pPr>
        <w:numPr>
          <w:ilvl w:val="0"/>
          <w:numId w:val="1"/>
        </w:numPr>
        <w:adjustRightInd w:val="0"/>
        <w:snapToGrid w:val="0"/>
        <w:ind w:left="425" w:leftChars="0" w:hanging="425" w:firstLineChars="0"/>
        <w:jc w:val="left"/>
        <w:rPr>
          <w:rFonts w:ascii="Times New Roman" w:hAnsi="Times New Roman" w:eastAsia="仿宋" w:cs="Times New Roman"/>
          <w:sz w:val="18"/>
          <w:szCs w:val="18"/>
          <w:shd w:val="clear" w:color="auto" w:fill="FFFFFF"/>
        </w:rPr>
      </w:pPr>
      <w:r>
        <w:rPr>
          <w:rFonts w:ascii="Times New Roman" w:hAnsi="Times New Roman" w:eastAsia="仿宋" w:cs="Times New Roman"/>
          <w:sz w:val="18"/>
          <w:szCs w:val="18"/>
          <w:shd w:val="clear" w:color="auto" w:fill="FFFFFF"/>
        </w:rPr>
        <w:t>齐绍洲、林屾、崔静波，“环境权益交易市场能否诱发绿色创新?——基于我国上市公司绿色专利数据的证据”，《经济研究》，2018年第12期，第129-143页。</w:t>
      </w:r>
    </w:p>
    <w:p>
      <w:pPr>
        <w:numPr>
          <w:ilvl w:val="0"/>
          <w:numId w:val="1"/>
        </w:numPr>
        <w:adjustRightInd w:val="0"/>
        <w:snapToGrid w:val="0"/>
        <w:ind w:left="425" w:leftChars="0" w:hanging="425" w:firstLineChars="0"/>
        <w:jc w:val="left"/>
        <w:rPr>
          <w:rFonts w:ascii="Times New Roman" w:hAnsi="Times New Roman" w:eastAsia="仿宋" w:cs="Times New Roman"/>
          <w:sz w:val="18"/>
          <w:szCs w:val="18"/>
          <w:shd w:val="clear" w:color="auto" w:fill="FFFFFF"/>
        </w:rPr>
      </w:pPr>
      <w:r>
        <w:rPr>
          <w:rFonts w:ascii="Times New Roman" w:hAnsi="Times New Roman" w:eastAsia="仿宋" w:cs="Times New Roman"/>
          <w:sz w:val="18"/>
          <w:szCs w:val="18"/>
        </w:rPr>
        <w:t>范子英、王倩,“财政补贴的低效率之谜：税收超收的视角”,《中国工业经济》, 2019年第12期，第23-41页.</w:t>
      </w:r>
    </w:p>
    <w:p>
      <w:pPr>
        <w:numPr>
          <w:ilvl w:val="0"/>
          <w:numId w:val="1"/>
        </w:numPr>
        <w:adjustRightInd w:val="0"/>
        <w:snapToGrid w:val="0"/>
        <w:ind w:left="425" w:leftChars="0" w:hanging="425" w:firstLineChars="0"/>
        <w:jc w:val="left"/>
        <w:rPr>
          <w:rFonts w:ascii="Times New Roman" w:hAnsi="Times New Roman" w:eastAsia="仿宋" w:cs="Times New Roman"/>
          <w:sz w:val="18"/>
          <w:szCs w:val="18"/>
          <w:shd w:val="clear" w:color="auto" w:fill="FFFFFF"/>
        </w:rPr>
      </w:pPr>
      <w:r>
        <w:rPr>
          <w:rFonts w:ascii="Times New Roman" w:hAnsi="Times New Roman" w:eastAsia="仿宋" w:cs="Times New Roman"/>
          <w:sz w:val="18"/>
          <w:szCs w:val="18"/>
          <w:shd w:val="clear" w:color="auto" w:fill="FFFFFF"/>
        </w:rPr>
        <w:t xml:space="preserve">于亚卓、张惠琳、张平淡，“非对称性环境规制的标尺现象及其机制研究”，《管理世界》，2021年第9期，第134-147页。 </w:t>
      </w:r>
    </w:p>
    <w:p>
      <w:pPr>
        <w:numPr>
          <w:ilvl w:val="0"/>
          <w:numId w:val="1"/>
        </w:numPr>
        <w:adjustRightInd w:val="0"/>
        <w:snapToGrid w:val="0"/>
        <w:ind w:left="425" w:leftChars="0" w:hanging="425" w:firstLineChars="0"/>
        <w:jc w:val="left"/>
        <w:rPr>
          <w:rFonts w:ascii="Times New Roman" w:hAnsi="Times New Roman" w:eastAsia="仿宋" w:cs="Times New Roman"/>
          <w:sz w:val="18"/>
          <w:szCs w:val="18"/>
          <w:shd w:val="clear" w:color="auto" w:fill="FFFFFF"/>
        </w:rPr>
      </w:pPr>
      <w:r>
        <w:rPr>
          <w:rFonts w:ascii="Times New Roman" w:hAnsi="Times New Roman" w:eastAsia="仿宋" w:cs="Times New Roman"/>
          <w:sz w:val="18"/>
          <w:szCs w:val="18"/>
          <w:shd w:val="clear" w:color="auto" w:fill="FFFFFF"/>
        </w:rPr>
        <w:t>Nunn, N., and N.Qian,  “The Potato's Contribution to Population and Urbanization: Evidence from a Historical Experiment”,</w:t>
      </w:r>
      <w:r>
        <w:rPr>
          <w:rFonts w:ascii="Times New Roman" w:hAnsi="Times New Roman" w:eastAsia="仿宋" w:cs="Times New Roman"/>
          <w:i/>
          <w:iCs/>
          <w:sz w:val="18"/>
          <w:szCs w:val="18"/>
          <w:shd w:val="clear" w:color="auto" w:fill="FFFFFF"/>
        </w:rPr>
        <w:t xml:space="preserve"> The Quarterly Journal of Economics</w:t>
      </w:r>
      <w:r>
        <w:rPr>
          <w:rFonts w:ascii="Times New Roman" w:hAnsi="Times New Roman" w:eastAsia="仿宋" w:cs="Times New Roman"/>
          <w:sz w:val="18"/>
          <w:szCs w:val="18"/>
          <w:shd w:val="clear" w:color="auto" w:fill="FFFFFF"/>
        </w:rPr>
        <w:t>, 2011,26(2), 593-650.</w:t>
      </w:r>
    </w:p>
    <w:p>
      <w:pPr>
        <w:numPr>
          <w:ilvl w:val="0"/>
          <w:numId w:val="1"/>
        </w:numPr>
        <w:adjustRightInd w:val="0"/>
        <w:snapToGrid w:val="0"/>
        <w:ind w:left="425" w:leftChars="0" w:hanging="425" w:firstLineChars="0"/>
        <w:jc w:val="left"/>
        <w:rPr>
          <w:rFonts w:ascii="Times New Roman" w:hAnsi="Times New Roman" w:eastAsia="仿宋" w:cs="Times New Roman"/>
          <w:sz w:val="18"/>
          <w:szCs w:val="18"/>
          <w:shd w:val="clear" w:color="auto" w:fill="FFFFFF"/>
        </w:rPr>
      </w:pPr>
      <w:r>
        <w:rPr>
          <w:rFonts w:ascii="Times New Roman" w:hAnsi="Times New Roman" w:eastAsia="仿宋" w:cs="Times New Roman"/>
          <w:sz w:val="18"/>
          <w:szCs w:val="18"/>
          <w:shd w:val="clear" w:color="auto" w:fill="FFFFFF"/>
        </w:rPr>
        <w:t>聂辉华、江艇、张雨潇、方明月，“我国僵尸企业的现状、原因与对策”，《宏观经济管理》,</w:t>
      </w:r>
      <w:r>
        <w:rPr>
          <w:rFonts w:hint="eastAsia" w:ascii="Times New Roman" w:hAnsi="Times New Roman" w:eastAsia="仿宋" w:cs="Times New Roman"/>
          <w:sz w:val="18"/>
          <w:szCs w:val="18"/>
          <w:shd w:val="clear" w:color="auto" w:fill="FFFFFF"/>
          <w:lang w:val="en-US" w:eastAsia="zh-CN"/>
        </w:rPr>
        <w:t xml:space="preserve"> </w:t>
      </w:r>
      <w:r>
        <w:rPr>
          <w:rFonts w:ascii="Times New Roman" w:hAnsi="Times New Roman" w:eastAsia="仿宋" w:cs="Times New Roman"/>
          <w:sz w:val="18"/>
          <w:szCs w:val="18"/>
          <w:shd w:val="clear" w:color="auto" w:fill="FFFFFF"/>
        </w:rPr>
        <w:t>2016年第9期，第63-68+88页。</w:t>
      </w:r>
    </w:p>
    <w:p>
      <w:pPr>
        <w:numPr>
          <w:ilvl w:val="0"/>
          <w:numId w:val="1"/>
        </w:numPr>
        <w:adjustRightInd w:val="0"/>
        <w:snapToGrid w:val="0"/>
        <w:ind w:left="425" w:leftChars="0" w:hanging="425" w:firstLineChars="0"/>
        <w:jc w:val="left"/>
        <w:rPr>
          <w:rFonts w:ascii="Times New Roman" w:hAnsi="Times New Roman" w:eastAsia="仿宋" w:cs="Times New Roman"/>
          <w:sz w:val="18"/>
          <w:szCs w:val="18"/>
          <w:shd w:val="clear" w:color="auto" w:fill="FFFFFF"/>
        </w:rPr>
      </w:pPr>
      <w:r>
        <w:rPr>
          <w:rFonts w:ascii="Times New Roman" w:hAnsi="Times New Roman" w:eastAsia="仿宋" w:cs="Times New Roman"/>
          <w:sz w:val="18"/>
          <w:szCs w:val="18"/>
          <w:shd w:val="clear" w:color="auto" w:fill="FFFFFF"/>
        </w:rPr>
        <w:t>陈钊、陈乔伊，“中国企业能源利用效率：异质性、影响因素及政策含义”，《中国工业经济》,</w:t>
      </w:r>
      <w:r>
        <w:rPr>
          <w:rFonts w:hint="eastAsia" w:ascii="Times New Roman" w:hAnsi="Times New Roman" w:eastAsia="仿宋" w:cs="Times New Roman"/>
          <w:sz w:val="18"/>
          <w:szCs w:val="18"/>
          <w:shd w:val="clear" w:color="auto" w:fill="FFFFFF"/>
          <w:lang w:val="en-US" w:eastAsia="zh-CN"/>
        </w:rPr>
        <w:t xml:space="preserve"> </w:t>
      </w:r>
      <w:r>
        <w:rPr>
          <w:rFonts w:ascii="Times New Roman" w:hAnsi="Times New Roman" w:eastAsia="仿宋" w:cs="Times New Roman"/>
          <w:sz w:val="18"/>
          <w:szCs w:val="18"/>
          <w:shd w:val="clear" w:color="auto" w:fill="FFFFFF"/>
        </w:rPr>
        <w:t>2019年第12期，第78-95页。</w:t>
      </w:r>
    </w:p>
    <w:p>
      <w:pPr>
        <w:numPr>
          <w:ilvl w:val="0"/>
          <w:numId w:val="1"/>
        </w:numPr>
        <w:adjustRightInd w:val="0"/>
        <w:snapToGrid w:val="0"/>
        <w:ind w:left="425" w:leftChars="0" w:hanging="425" w:firstLineChars="0"/>
        <w:jc w:val="left"/>
        <w:rPr>
          <w:rFonts w:ascii="Times New Roman" w:hAnsi="Times New Roman" w:eastAsia="仿宋" w:cs="Times New Roman"/>
          <w:sz w:val="18"/>
          <w:szCs w:val="18"/>
          <w:shd w:val="clear" w:color="auto" w:fill="FFFFFF"/>
        </w:rPr>
      </w:pPr>
      <w:r>
        <w:rPr>
          <w:rFonts w:ascii="Times New Roman" w:hAnsi="Times New Roman" w:eastAsia="仿宋" w:cs="Times New Roman"/>
          <w:sz w:val="18"/>
          <w:szCs w:val="18"/>
          <w:shd w:val="clear" w:color="auto" w:fill="FFFFFF"/>
        </w:rPr>
        <w:t>龙小宁、万威，“环境规制、企业利润率与合规成本规模异质性”，《中国工业经济》，2017年第6期，第155-174页。</w:t>
      </w:r>
    </w:p>
    <w:p>
      <w:pPr>
        <w:widowControl w:val="0"/>
        <w:numPr>
          <w:ilvl w:val="0"/>
          <w:numId w:val="0"/>
        </w:numPr>
        <w:tabs>
          <w:tab w:val="left" w:pos="420"/>
        </w:tabs>
        <w:adjustRightInd w:val="0"/>
        <w:snapToGrid w:val="0"/>
        <w:jc w:val="left"/>
        <w:rPr>
          <w:rFonts w:ascii="Times New Roman" w:hAnsi="Times New Roman" w:eastAsia="仿宋" w:cs="Times New Roman"/>
          <w:sz w:val="18"/>
          <w:szCs w:val="18"/>
          <w:shd w:val="clear" w:color="auto" w:fill="FFFFFF"/>
        </w:rPr>
      </w:pPr>
    </w:p>
    <w:p>
      <w:pPr>
        <w:widowControl w:val="0"/>
        <w:numPr>
          <w:ilvl w:val="0"/>
          <w:numId w:val="0"/>
        </w:numPr>
        <w:tabs>
          <w:tab w:val="left" w:pos="420"/>
        </w:tabs>
        <w:adjustRightInd w:val="0"/>
        <w:snapToGrid w:val="0"/>
        <w:jc w:val="left"/>
        <w:rPr>
          <w:rFonts w:ascii="Times New Roman" w:hAnsi="Times New Roman" w:eastAsia="仿宋" w:cs="Times New Roman"/>
          <w:sz w:val="18"/>
          <w:szCs w:val="18"/>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left="-1" w:leftChars="-1" w:firstLine="0"/>
        <w:textAlignment w:val="auto"/>
        <w:rPr>
          <w:rFonts w:hint="eastAsia" w:ascii="宋体" w:hAnsi="宋体" w:eastAsia="宋体" w:cs="宋体"/>
          <w:b/>
          <w:bCs w:val="0"/>
          <w:color w:val="auto"/>
          <w:kern w:val="0"/>
          <w:szCs w:val="21"/>
        </w:rPr>
      </w:pPr>
      <w:r>
        <w:rPr>
          <w:rFonts w:hint="eastAsia" w:ascii="宋体" w:hAnsi="宋体" w:eastAsia="宋体" w:cs="宋体"/>
          <w:b/>
          <w:bCs w:val="0"/>
          <w:color w:val="auto"/>
          <w:szCs w:val="22"/>
        </w:rPr>
        <w:t>注：该附录是期刊所发表论文的组成部分，同样视为作者公开发表的内容。如研究中使用该附录中的内容，</w:t>
      </w:r>
      <w:r>
        <w:rPr>
          <w:rFonts w:hint="eastAsia" w:ascii="宋体" w:hAnsi="宋体" w:eastAsia="宋体" w:cs="宋体"/>
          <w:b/>
          <w:bCs w:val="0"/>
          <w:color w:val="auto"/>
          <w:kern w:val="0"/>
          <w:szCs w:val="21"/>
        </w:rPr>
        <w:t>请务必在研究成果上注明</w:t>
      </w:r>
      <w:r>
        <w:rPr>
          <w:rFonts w:hint="eastAsia" w:ascii="宋体" w:hAnsi="宋体" w:eastAsia="宋体" w:cs="宋体"/>
          <w:b/>
          <w:bCs w:val="0"/>
          <w:color w:val="auto"/>
          <w:kern w:val="0"/>
          <w:szCs w:val="21"/>
          <w:lang w:val="en-US" w:eastAsia="zh-CN"/>
        </w:rPr>
        <w:t>附录</w:t>
      </w:r>
      <w:r>
        <w:rPr>
          <w:rFonts w:hint="eastAsia" w:ascii="宋体" w:hAnsi="宋体" w:eastAsia="宋体" w:cs="宋体"/>
          <w:b/>
          <w:bCs w:val="0"/>
          <w:color w:val="auto"/>
          <w:kern w:val="0"/>
          <w:szCs w:val="21"/>
        </w:rPr>
        <w:t>下载出处。</w:t>
      </w:r>
    </w:p>
    <w:p>
      <w:pPr>
        <w:widowControl w:val="0"/>
        <w:numPr>
          <w:ilvl w:val="0"/>
          <w:numId w:val="0"/>
        </w:numPr>
        <w:tabs>
          <w:tab w:val="left" w:pos="420"/>
        </w:tabs>
        <w:adjustRightInd w:val="0"/>
        <w:snapToGrid w:val="0"/>
        <w:jc w:val="left"/>
        <w:rPr>
          <w:rFonts w:ascii="Times New Roman" w:hAnsi="Times New Roman" w:eastAsia="仿宋" w:cs="Times New Roman"/>
          <w:sz w:val="18"/>
          <w:szCs w:val="18"/>
          <w:shd w:val="clear" w:color="auto" w:fill="FFFFFF"/>
        </w:rPr>
      </w:pPr>
    </w:p>
    <w:sectPr>
      <w:footnotePr>
        <w:numFmt w:val="decimalEnclosedCircleChinese"/>
        <w:numRestart w:val="eachPage"/>
      </w:footnotePr>
      <w:endnotePr>
        <w:numFmt w:val="decimalEnclosedCircleChinese"/>
      </w:endnotePr>
      <w:pgSz w:w="11906" w:h="16838"/>
      <w:pgMar w:top="1440" w:right="1797" w:bottom="1440" w:left="1797" w:header="851" w:footer="992" w:gutter="0"/>
      <w:cols w:space="425" w:num="1"/>
      <w:docGrid w:type="linesAndChars" w:linePitch="357" w:charSpace="-24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SJ4+ZLRFLA-1">
    <w:altName w:val="Segoe Print"/>
    <w:panose1 w:val="00000000000000000000"/>
    <w:charset w:val="00"/>
    <w:family w:val="roman"/>
    <w:pitch w:val="default"/>
    <w:sig w:usb0="00000000" w:usb1="00000000" w:usb2="00000000" w:usb3="00000000" w:csb0="00000000" w:csb1="00000000"/>
  </w:font>
  <w:font w:name="FZSSK--GBK1-00+ZLRFLA-10">
    <w:altName w:val="Segoe Print"/>
    <w:panose1 w:val="00000000000000000000"/>
    <w:charset w:val="00"/>
    <w:family w:val="roman"/>
    <w:pitch w:val="default"/>
    <w:sig w:usb0="00000000" w:usb1="00000000" w:usb2="00000000" w:usb3="00000000" w:csb0="00000000" w:csb1="00000000"/>
  </w:font>
  <w:font w:name="FZSSK--GBK1-00+ZLRFLA-9">
    <w:altName w:val="Segoe Print"/>
    <w:panose1 w:val="00000000000000000000"/>
    <w:charset w:val="00"/>
    <w:family w:val="roman"/>
    <w:pitch w:val="default"/>
    <w:sig w:usb0="00000000" w:usb1="00000000" w:usb2="00000000" w:usb3="00000000" w:csb0="00000000" w:csb1="00000000"/>
  </w:font>
  <w:font w:name="FZSSK--GBK1-00+ZLRFLB-13">
    <w:altName w:val="Segoe Print"/>
    <w:panose1 w:val="00000000000000000000"/>
    <w:charset w:val="00"/>
    <w:family w:val="roman"/>
    <w:pitch w:val="default"/>
    <w:sig w:usb0="00000000" w:usb1="00000000" w:usb2="00000000" w:usb3="00000000" w:csb0="00000000" w:csb1="00000000"/>
  </w:font>
  <w:font w:name="FZSSK--GBK1-00+ZLRFLB-12">
    <w:altName w:val="Segoe Print"/>
    <w:panose1 w:val="00000000000000000000"/>
    <w:charset w:val="00"/>
    <w:family w:val="roman"/>
    <w:pitch w:val="default"/>
    <w:sig w:usb0="00000000" w:usb1="00000000" w:usb2="00000000" w:usb3="00000000" w:csb0="00000000" w:csb1="00000000"/>
  </w:font>
  <w:font w:name="FZSSK--GBK1-00+ZLRFLB-11">
    <w:altName w:val="Segoe Print"/>
    <w:panose1 w:val="00000000000000000000"/>
    <w:charset w:val="00"/>
    <w:family w:val="roman"/>
    <w:pitch w:val="default"/>
    <w:sig w:usb0="00000000" w:usb1="00000000" w:usb2="00000000" w:usb3="00000000" w:csb0="00000000" w:csb1="00000000"/>
  </w:font>
  <w:font w:name="FZSSK--GBK1-00+ZLRFLB-19">
    <w:altName w:val="Segoe Print"/>
    <w:panose1 w:val="00000000000000000000"/>
    <w:charset w:val="00"/>
    <w:family w:val="roman"/>
    <w:pitch w:val="default"/>
    <w:sig w:usb0="00000000" w:usb1="00000000" w:usb2="00000000" w:usb3="00000000" w:csb0="00000000" w:csb1="00000000"/>
  </w:font>
  <w:font w:name="FZSSK--GBK1-00+ZLRFLB-16">
    <w:altName w:val="Cambria"/>
    <w:panose1 w:val="00000000000000000000"/>
    <w:charset w:val="00"/>
    <w:family w:val="roman"/>
    <w:pitch w:val="default"/>
    <w:sig w:usb0="00000000" w:usb1="00000000" w:usb2="00000000" w:usb3="00000000" w:csb0="00000000" w:csb1="00000000"/>
  </w:font>
  <w:font w:name="FZSSK--GBK1-00+ZLRFLB-14">
    <w:altName w:val="Segoe Print"/>
    <w:panose1 w:val="00000000000000000000"/>
    <w:charset w:val="00"/>
    <w:family w:val="roman"/>
    <w:pitch w:val="default"/>
    <w:sig w:usb0="00000000" w:usb1="00000000" w:usb2="00000000" w:usb3="00000000" w:csb0="00000000" w:csb1="00000000"/>
  </w:font>
  <w:font w:name="FZSSK--GBK1-00+ZLRFLC-22">
    <w:altName w:val="Segoe Print"/>
    <w:panose1 w:val="00000000000000000000"/>
    <w:charset w:val="00"/>
    <w:family w:val="roman"/>
    <w:pitch w:val="default"/>
    <w:sig w:usb0="00000000" w:usb1="00000000" w:usb2="00000000" w:usb3="00000000" w:csb0="00000000" w:csb1="00000000"/>
  </w:font>
  <w:font w:name="FZSSK--GBK1-00+ZLRFLK-36">
    <w:altName w:val="Segoe Print"/>
    <w:panose1 w:val="00000000000000000000"/>
    <w:charset w:val="00"/>
    <w:family w:val="roman"/>
    <w:pitch w:val="default"/>
    <w:sig w:usb0="00000000" w:usb1="00000000" w:usb2="00000000" w:usb3="00000000" w:csb0="00000000" w:csb1="00000000"/>
  </w:font>
  <w:font w:name="FZSSK--GBK1-00+ZLRFLT-44">
    <w:altName w:val="Segoe Print"/>
    <w:panose1 w:val="00000000000000000000"/>
    <w:charset w:val="00"/>
    <w:family w:val="roman"/>
    <w:pitch w:val="default"/>
    <w:sig w:usb0="00000000" w:usb1="00000000" w:usb2="00000000" w:usb3="00000000" w:csb0="00000000" w:csb1="00000000"/>
  </w:font>
  <w:font w:name="FZSSK--GBK1-00+ZLRFLC-20">
    <w:altName w:val="Segoe Print"/>
    <w:panose1 w:val="00000000000000000000"/>
    <w:charset w:val="00"/>
    <w:family w:val="roman"/>
    <w:pitch w:val="default"/>
    <w:sig w:usb0="00000000" w:usb1="00000000" w:usb2="00000000" w:usb3="00000000" w:csb0="00000000" w:csb1="00000000"/>
  </w:font>
  <w:font w:name="E-BZ+ZLRFLA-2">
    <w:altName w:val="Segoe Print"/>
    <w:panose1 w:val="00000000000000000000"/>
    <w:charset w:val="00"/>
    <w:family w:val="roman"/>
    <w:pitch w:val="default"/>
    <w:sig w:usb0="00000000" w:usb1="00000000" w:usb2="00000000" w:usb3="00000000" w:csb0="00000000" w:csb1="00000000"/>
  </w:font>
  <w:font w:name="FZSSK--GBK1-00+ZLRFLP-41">
    <w:altName w:val="Segoe Print"/>
    <w:panose1 w:val="00000000000000000000"/>
    <w:charset w:val="00"/>
    <w:family w:val="roman"/>
    <w:pitch w:val="default"/>
    <w:sig w:usb0="00000000" w:usb1="00000000" w:usb2="00000000" w:usb3="00000000" w:csb0="00000000" w:csb1="00000000"/>
  </w:font>
  <w:font w:name="FZSSK--GBK1-00+ZLRFLE-29">
    <w:altName w:val="Segoe Print"/>
    <w:panose1 w:val="00000000000000000000"/>
    <w:charset w:val="00"/>
    <w:family w:val="roman"/>
    <w:pitch w:val="default"/>
    <w:sig w:usb0="00000000" w:usb1="00000000" w:usb2="00000000" w:usb3="00000000" w:csb0="00000000" w:csb1="00000000"/>
  </w:font>
  <w:font w:name="FSJ0+ZLRFLA-6">
    <w:altName w:val="Segoe Print"/>
    <w:panose1 w:val="00000000000000000000"/>
    <w:charset w:val="00"/>
    <w:family w:val="roman"/>
    <w:pitch w:val="default"/>
    <w:sig w:usb0="00000000" w:usb1="00000000" w:usb2="00000000" w:usb3="00000000" w:csb0="00000000" w:csb1="00000000"/>
  </w:font>
  <w:font w:name="KTJ+ZJXGU2-16">
    <w:altName w:val="Segoe Print"/>
    <w:panose1 w:val="00000000000000000000"/>
    <w:charset w:val="00"/>
    <w:family w:val="roman"/>
    <w:pitch w:val="default"/>
    <w:sig w:usb0="00000000" w:usb1="00000000" w:usb2="00000000" w:usb3="00000000" w:csb0="00000000" w:csb1="00000000"/>
  </w:font>
  <w:font w:name="KTJ+ZLTHP5-9">
    <w:altName w:val="Cambria"/>
    <w:panose1 w:val="00000000000000000000"/>
    <w:charset w:val="00"/>
    <w:family w:val="roman"/>
    <w:pitch w:val="default"/>
    <w:sig w:usb0="00000000" w:usb1="00000000" w:usb2="00000000" w:usb3="00000000" w:csb0="00000000" w:csb1="00000000"/>
  </w:font>
  <w:font w:name="KTJ+ZLTHP5-10">
    <w:altName w:val="Cambria"/>
    <w:panose1 w:val="00000000000000000000"/>
    <w:charset w:val="00"/>
    <w:family w:val="roman"/>
    <w:pitch w:val="default"/>
    <w:sig w:usb0="00000000" w:usb1="00000000" w:usb2="00000000" w:usb3="00000000" w:csb0="00000000" w:csb1="00000000"/>
  </w:font>
  <w:font w:name="KTJ+ZLTHQC-137">
    <w:altName w:val="Segoe Print"/>
    <w:panose1 w:val="00000000000000000000"/>
    <w:charset w:val="00"/>
    <w:family w:val="roman"/>
    <w:pitch w:val="default"/>
    <w:sig w:usb0="00000000" w:usb1="00000000" w:usb2="00000000" w:usb3="00000000" w:csb0="00000000" w:csb1="00000000"/>
  </w:font>
  <w:font w:name="KTJ+ZMXHVq-467">
    <w:altName w:val="Segoe Print"/>
    <w:panose1 w:val="00000000000000000000"/>
    <w:charset w:val="00"/>
    <w:family w:val="roman"/>
    <w:pitch w:val="default"/>
    <w:sig w:usb0="00000000" w:usb1="00000000" w:usb2="00000000" w:usb3="00000000" w:csb0="00000000" w:csb1="00000000"/>
  </w:font>
  <w:font w:name="KTJ+ZMcIH8-18">
    <w:altName w:val="Cambria"/>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222548"/>
      <w:docPartObj>
        <w:docPartGallery w:val="autotext"/>
      </w:docPartObj>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19"/>
        <w:jc w:val="both"/>
        <w:rPr>
          <w:rFonts w:ascii="Times New Roman" w:hAnsi="Times New Roman" w:eastAsia="仿宋" w:cs="Times New Roman"/>
        </w:rPr>
      </w:pPr>
      <w:r>
        <w:rPr>
          <w:rStyle w:val="33"/>
          <w:rFonts w:ascii="Times New Roman" w:hAnsi="Times New Roman" w:eastAsia="仿宋" w:cs="Times New Roman"/>
        </w:rPr>
        <w:footnoteRef/>
      </w:r>
      <w:r>
        <w:rPr>
          <w:rFonts w:ascii="Times New Roman" w:hAnsi="Times New Roman" w:eastAsia="仿宋" w:cs="Times New Roman"/>
        </w:rPr>
        <w:t>据笔者统计，在中国工业企业数据库中，大约13%左右的企业两位数代码进行了调整，如岳阳高新技术产业开发区天元电子技术有限公司2012年行业大类代码从36变更为41；笔者进一步根据国泰安（CSMAR）数据库，对2000</w:t>
      </w:r>
      <w:r>
        <w:rPr>
          <w:rFonts w:hint="eastAsia" w:ascii="Times New Roman" w:hAnsi="Times New Roman" w:eastAsia="仿宋" w:cs="Times New Roman"/>
          <w:lang w:eastAsia="zh-CN"/>
        </w:rPr>
        <w:t>—</w:t>
      </w:r>
      <w:r>
        <w:rPr>
          <w:rFonts w:ascii="Times New Roman" w:hAnsi="Times New Roman" w:eastAsia="仿宋" w:cs="Times New Roman"/>
        </w:rPr>
        <w:t>2019年A股上市公司的行业代码调整情况进行了统计，发现行业代码A到S共19个大类行业，有15.34%（606家）的上市公司曾经更换过行业。</w:t>
      </w:r>
    </w:p>
  </w:footnote>
  <w:footnote w:id="1">
    <w:p>
      <w:pPr>
        <w:pStyle w:val="19"/>
        <w:jc w:val="both"/>
        <w:rPr>
          <w:rFonts w:ascii="Times New Roman" w:hAnsi="Times New Roman" w:eastAsia="仿宋" w:cs="Times New Roman"/>
        </w:rPr>
      </w:pPr>
      <w:r>
        <w:rPr>
          <w:rStyle w:val="33"/>
          <w:rFonts w:ascii="Times New Roman" w:hAnsi="Times New Roman" w:eastAsia="仿宋" w:cs="Times New Roman"/>
        </w:rPr>
        <w:footnoteRef/>
      </w:r>
      <w:r>
        <w:rPr>
          <w:rFonts w:ascii="Times New Roman" w:hAnsi="Times New Roman" w:eastAsia="仿宋" w:cs="Times New Roman"/>
        </w:rPr>
        <w:t>区域限批，是指如果一家企业或一个地区出现严重环保违规的事件，环保部门有权暂停这一企业或这一地区所有新建项目的审批，直至该企业或该地区完成整改。流域限批是指某个河流流域限制新的污染企业数量。国家环境保护总局在2007年实施区域限批的地区是：河北唐山市、山西吕梁市、贵州六盘水市、山东莱芜市。实施流域限批的地区包括：长江安徽段的巢湖市和芜湖经济技术开发区，黄河流域的甘肃白银市与兰州高新技术产业开发区、内蒙古巴彦淖尔市、陕西渭南市、山西河津市（县级）与襄汾县，淮河流域的河南周口市、安徽蚌埠市，海河流域的河北邯郸经济技术开发区、河南濮阳经济开发区、山东莘县工业园区。省级环境保护主管部门在2007年实施区域限批的地区包括：四川泸州市（2006年12月16日），河北晋州市、石家庄高新技术开发区和经济技术开发区、无极县、深泽县与枣强大营镇皮毛工业区，河南新乡市、通许县，上海浦东新区川沙功能区，北京昌平区，山西尧都区、襄汾县、蒲县、霍州市、侯马市、长治郊区、潞城市、襄垣县、闻喜县、新绛县、河津市、柳林县、交口县、孝义市和汾阳市，辽宁辽阳县，广东清远市清城区、茂名市茂南区，陕西韩城市。</w:t>
      </w:r>
    </w:p>
  </w:footnote>
  <w:footnote w:id="2">
    <w:p>
      <w:pPr>
        <w:pStyle w:val="19"/>
        <w:jc w:val="both"/>
        <w:rPr>
          <w:rFonts w:ascii="Times New Roman" w:hAnsi="Times New Roman" w:eastAsia="仿宋" w:cs="Times New Roman"/>
        </w:rPr>
      </w:pPr>
      <w:r>
        <w:rPr>
          <w:rStyle w:val="33"/>
          <w:rFonts w:ascii="Times New Roman" w:hAnsi="Times New Roman" w:cs="Times New Roman"/>
        </w:rPr>
        <w:footnoteRef/>
      </w:r>
      <w:r>
        <w:rPr>
          <w:rFonts w:ascii="Times New Roman" w:hAnsi="Times New Roman" w:eastAsia="仿宋" w:cs="Times New Roman"/>
        </w:rPr>
        <w:t>该调查是由财政部和国家税务总局联合组织实施，按照分层随机抽样的方法选取企业，由各地财税机关负责具体的数据调查工作并确保调查质量，大大提高了填报信息的准确性。每年调查样本大概覆盖 70 万家企业，由重点调查和抽样调查组成，其中 80%是重点调查企业，包括重点税源企业、出口企业等，分层抽样调查企业占 20%。另外,关于忽略2003年清洁生产标准实施样本的担忧，考虑到清洁生产标准大都是在2006年及之后年份实施的，这一时间窗口因素对清洁生产政策生效的总体影响有限。</w:t>
      </w:r>
    </w:p>
  </w:footnote>
  <w:footnote w:id="3">
    <w:p>
      <w:pPr>
        <w:pStyle w:val="19"/>
        <w:rPr>
          <w:rFonts w:ascii="Times New Roman" w:hAnsi="Times New Roman" w:eastAsia="仿宋" w:cs="Times New Roman"/>
        </w:rPr>
      </w:pPr>
      <w:r>
        <w:rPr>
          <w:rStyle w:val="33"/>
        </w:rPr>
        <w:footnoteRef/>
      </w:r>
      <w:r>
        <w:t xml:space="preserve"> </w:t>
      </w:r>
      <w:r>
        <w:rPr>
          <w:rFonts w:hint="eastAsia" w:ascii="Times New Roman" w:hAnsi="Times New Roman" w:eastAsia="仿宋" w:cs="Times New Roman"/>
        </w:rPr>
        <w:t>需要说明的是，全国税收调查数据库中的能源指标不含天然气。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2024年第2期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95C60E"/>
    <w:multiLevelType w:val="singleLevel"/>
    <w:tmpl w:val="BC95C60E"/>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8"/>
    <w:footnote w:id="9"/>
  </w:footnotePr>
  <w:endnotePr>
    <w:numFmt w:val="decimalEnclosedCircleChinese"/>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DA41EC"/>
    <w:rsid w:val="00054B05"/>
    <w:rsid w:val="001208E6"/>
    <w:rsid w:val="0019141F"/>
    <w:rsid w:val="001A128A"/>
    <w:rsid w:val="001E0B01"/>
    <w:rsid w:val="002154E1"/>
    <w:rsid w:val="0026065C"/>
    <w:rsid w:val="002D4E39"/>
    <w:rsid w:val="003638C4"/>
    <w:rsid w:val="0046193D"/>
    <w:rsid w:val="00465F0B"/>
    <w:rsid w:val="00483C73"/>
    <w:rsid w:val="004869C7"/>
    <w:rsid w:val="0049150C"/>
    <w:rsid w:val="004E31C9"/>
    <w:rsid w:val="005B514F"/>
    <w:rsid w:val="006E506A"/>
    <w:rsid w:val="006F19C5"/>
    <w:rsid w:val="00757FE1"/>
    <w:rsid w:val="00866643"/>
    <w:rsid w:val="00885623"/>
    <w:rsid w:val="008F3F37"/>
    <w:rsid w:val="00900FA5"/>
    <w:rsid w:val="00936AF7"/>
    <w:rsid w:val="00BA1B73"/>
    <w:rsid w:val="00BA5F43"/>
    <w:rsid w:val="00D04BCF"/>
    <w:rsid w:val="00D0731D"/>
    <w:rsid w:val="00DA41EC"/>
    <w:rsid w:val="00DF1C9A"/>
    <w:rsid w:val="00E02B2B"/>
    <w:rsid w:val="00E31C43"/>
    <w:rsid w:val="00E715A4"/>
    <w:rsid w:val="00F751C3"/>
    <w:rsid w:val="065B7836"/>
    <w:rsid w:val="0C6E02C3"/>
    <w:rsid w:val="0ECF4784"/>
    <w:rsid w:val="22C036C5"/>
    <w:rsid w:val="236245E6"/>
    <w:rsid w:val="24472ACE"/>
    <w:rsid w:val="35EF74CF"/>
    <w:rsid w:val="38C316CD"/>
    <w:rsid w:val="3BE21884"/>
    <w:rsid w:val="4E2117F0"/>
    <w:rsid w:val="55761B26"/>
    <w:rsid w:val="6171137E"/>
    <w:rsid w:val="6BE63A75"/>
    <w:rsid w:val="71A20BC5"/>
    <w:rsid w:val="72724088"/>
    <w:rsid w:val="7E8F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autoRedefine/>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35"/>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36"/>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37"/>
    <w:semiHidden/>
    <w:unhideWhenUsed/>
    <w:qFormat/>
    <w:uiPriority w:val="9"/>
    <w:pPr>
      <w:keepNext/>
      <w:keepLines/>
      <w:spacing w:before="80" w:after="40"/>
      <w:outlineLvl w:val="3"/>
    </w:pPr>
    <w:rPr>
      <w:rFonts w:cstheme="majorBidi"/>
      <w:color w:val="104862" w:themeColor="accent1" w:themeShade="BF"/>
      <w:sz w:val="28"/>
      <w:szCs w:val="28"/>
    </w:rPr>
  </w:style>
  <w:style w:type="paragraph" w:styleId="6">
    <w:name w:val="heading 5"/>
    <w:basedOn w:val="1"/>
    <w:next w:val="1"/>
    <w:link w:val="38"/>
    <w:semiHidden/>
    <w:unhideWhenUsed/>
    <w:qFormat/>
    <w:uiPriority w:val="9"/>
    <w:pPr>
      <w:keepNext/>
      <w:keepLines/>
      <w:spacing w:before="80" w:after="40"/>
      <w:outlineLvl w:val="4"/>
    </w:pPr>
    <w:rPr>
      <w:rFonts w:cstheme="majorBidi"/>
      <w:color w:val="104862" w:themeColor="accent1" w:themeShade="BF"/>
      <w:sz w:val="24"/>
      <w:szCs w:val="24"/>
    </w:rPr>
  </w:style>
  <w:style w:type="paragraph" w:styleId="7">
    <w:name w:val="heading 6"/>
    <w:basedOn w:val="1"/>
    <w:next w:val="1"/>
    <w:link w:val="39"/>
    <w:semiHidden/>
    <w:unhideWhenUsed/>
    <w:qFormat/>
    <w:uiPriority w:val="9"/>
    <w:pPr>
      <w:keepNext/>
      <w:keepLines/>
      <w:spacing w:before="40"/>
      <w:outlineLvl w:val="5"/>
    </w:pPr>
    <w:rPr>
      <w:rFonts w:cstheme="majorBidi"/>
      <w:b/>
      <w:bCs/>
      <w:color w:val="104862" w:themeColor="accent1" w:themeShade="BF"/>
    </w:rPr>
  </w:style>
  <w:style w:type="paragraph" w:styleId="8">
    <w:name w:val="heading 7"/>
    <w:basedOn w:val="1"/>
    <w:next w:val="1"/>
    <w:link w:val="40"/>
    <w:autoRedefine/>
    <w:semiHidden/>
    <w:unhideWhenUsed/>
    <w:qFormat/>
    <w:uiPriority w:val="9"/>
    <w:pPr>
      <w:keepNext/>
      <w:keepLines/>
      <w:spacing w:before="4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41"/>
    <w:autoRedefine/>
    <w:semiHidden/>
    <w:unhideWhenUsed/>
    <w:qFormat/>
    <w:uiPriority w:val="9"/>
    <w:pPr>
      <w:keepNext/>
      <w:keepLines/>
      <w:outlineLvl w:val="7"/>
    </w:pPr>
    <w:rPr>
      <w:rFonts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42"/>
    <w:autoRedefine/>
    <w:semiHidden/>
    <w:unhideWhenUsed/>
    <w:qFormat/>
    <w:uiPriority w:val="9"/>
    <w:pPr>
      <w:keepNext/>
      <w:keepLines/>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26">
    <w:name w:val="Default Paragraph Font"/>
    <w:autoRedefine/>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autoRedefine/>
    <w:unhideWhenUsed/>
    <w:qFormat/>
    <w:uiPriority w:val="35"/>
    <w:rPr>
      <w:rFonts w:eastAsia="黑体" w:asciiTheme="majorHAnsi" w:hAnsiTheme="majorHAnsi" w:cstheme="majorBidi"/>
      <w:sz w:val="20"/>
      <w:szCs w:val="20"/>
    </w:rPr>
  </w:style>
  <w:style w:type="paragraph" w:styleId="12">
    <w:name w:val="annotation text"/>
    <w:basedOn w:val="1"/>
    <w:link w:val="77"/>
    <w:autoRedefine/>
    <w:unhideWhenUsed/>
    <w:qFormat/>
    <w:uiPriority w:val="99"/>
    <w:pPr>
      <w:jc w:val="left"/>
    </w:pPr>
  </w:style>
  <w:style w:type="paragraph" w:styleId="13">
    <w:name w:val="endnote text"/>
    <w:basedOn w:val="1"/>
    <w:link w:val="83"/>
    <w:autoRedefine/>
    <w:unhideWhenUsed/>
    <w:qFormat/>
    <w:uiPriority w:val="99"/>
    <w:pPr>
      <w:snapToGrid w:val="0"/>
      <w:jc w:val="left"/>
    </w:pPr>
  </w:style>
  <w:style w:type="paragraph" w:styleId="14">
    <w:name w:val="Balloon Text"/>
    <w:basedOn w:val="1"/>
    <w:link w:val="75"/>
    <w:autoRedefine/>
    <w:semiHidden/>
    <w:unhideWhenUsed/>
    <w:qFormat/>
    <w:uiPriority w:val="99"/>
    <w:rPr>
      <w:sz w:val="18"/>
      <w:szCs w:val="18"/>
    </w:rPr>
  </w:style>
  <w:style w:type="paragraph" w:styleId="15">
    <w:name w:val="footer"/>
    <w:basedOn w:val="1"/>
    <w:link w:val="53"/>
    <w:autoRedefine/>
    <w:unhideWhenUsed/>
    <w:qFormat/>
    <w:uiPriority w:val="99"/>
    <w:pPr>
      <w:tabs>
        <w:tab w:val="center" w:pos="4153"/>
        <w:tab w:val="right" w:pos="8306"/>
      </w:tabs>
      <w:snapToGrid w:val="0"/>
      <w:jc w:val="left"/>
    </w:pPr>
    <w:rPr>
      <w:sz w:val="18"/>
      <w:szCs w:val="18"/>
    </w:rPr>
  </w:style>
  <w:style w:type="paragraph" w:styleId="16">
    <w:name w:val="header"/>
    <w:basedOn w:val="1"/>
    <w:link w:val="52"/>
    <w:autoRedefine/>
    <w:unhideWhenUsed/>
    <w:uiPriority w:val="99"/>
    <w:pPr>
      <w:tabs>
        <w:tab w:val="center" w:pos="4153"/>
        <w:tab w:val="right" w:pos="8306"/>
      </w:tabs>
      <w:snapToGrid w:val="0"/>
      <w:jc w:val="center"/>
    </w:pPr>
    <w:rPr>
      <w:sz w:val="18"/>
      <w:szCs w:val="18"/>
    </w:rPr>
  </w:style>
  <w:style w:type="paragraph" w:styleId="17">
    <w:name w:val="toc 1"/>
    <w:basedOn w:val="1"/>
    <w:next w:val="1"/>
    <w:autoRedefine/>
    <w:unhideWhenUsed/>
    <w:qFormat/>
    <w:uiPriority w:val="39"/>
    <w:pPr>
      <w:tabs>
        <w:tab w:val="right" w:leader="dot" w:pos="8302"/>
      </w:tabs>
    </w:pPr>
    <w:rPr>
      <w:rFonts w:ascii="微软雅黑" w:hAnsi="微软雅黑" w:eastAsia="微软雅黑" w:cs="Times New Roman"/>
      <w:sz w:val="24"/>
      <w:szCs w:val="28"/>
    </w:rPr>
  </w:style>
  <w:style w:type="paragraph" w:styleId="18">
    <w:name w:val="Subtitle"/>
    <w:basedOn w:val="1"/>
    <w:next w:val="1"/>
    <w:link w:val="44"/>
    <w:autoRedefine/>
    <w:qFormat/>
    <w:uiPriority w:val="11"/>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9">
    <w:name w:val="footnote text"/>
    <w:basedOn w:val="1"/>
    <w:link w:val="54"/>
    <w:autoRedefine/>
    <w:unhideWhenUsed/>
    <w:qFormat/>
    <w:uiPriority w:val="99"/>
    <w:pPr>
      <w:snapToGrid w:val="0"/>
      <w:jc w:val="left"/>
    </w:pPr>
    <w:rPr>
      <w:sz w:val="18"/>
      <w:szCs w:val="18"/>
    </w:rPr>
  </w:style>
  <w:style w:type="paragraph" w:styleId="20">
    <w:name w:val="toc 2"/>
    <w:basedOn w:val="1"/>
    <w:next w:val="1"/>
    <w:autoRedefine/>
    <w:unhideWhenUsed/>
    <w:uiPriority w:val="39"/>
    <w:pPr>
      <w:ind w:left="420" w:leftChars="200"/>
    </w:pPr>
  </w:style>
  <w:style w:type="paragraph" w:styleId="21">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2">
    <w:name w:val="Title"/>
    <w:basedOn w:val="1"/>
    <w:next w:val="1"/>
    <w:link w:val="43"/>
    <w:autoRedefine/>
    <w:qFormat/>
    <w:uiPriority w:val="10"/>
    <w:pPr>
      <w:spacing w:after="80"/>
      <w:contextualSpacing/>
      <w:jc w:val="center"/>
    </w:pPr>
    <w:rPr>
      <w:rFonts w:asciiTheme="majorHAnsi" w:hAnsiTheme="majorHAnsi" w:eastAsiaTheme="majorEastAsia" w:cstheme="majorBidi"/>
      <w:spacing w:val="-10"/>
      <w:kern w:val="28"/>
      <w:sz w:val="56"/>
      <w:szCs w:val="56"/>
    </w:rPr>
  </w:style>
  <w:style w:type="paragraph" w:styleId="23">
    <w:name w:val="annotation subject"/>
    <w:basedOn w:val="12"/>
    <w:next w:val="12"/>
    <w:link w:val="78"/>
    <w:autoRedefine/>
    <w:semiHidden/>
    <w:unhideWhenUsed/>
    <w:uiPriority w:val="99"/>
    <w:rPr>
      <w:b/>
      <w:bCs/>
    </w:rPr>
  </w:style>
  <w:style w:type="table" w:styleId="25">
    <w:name w:val="Table Grid"/>
    <w:basedOn w:val="2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autoRedefine/>
    <w:qFormat/>
    <w:uiPriority w:val="22"/>
    <w:rPr>
      <w:b/>
      <w:bCs/>
    </w:rPr>
  </w:style>
  <w:style w:type="character" w:styleId="28">
    <w:name w:val="endnote reference"/>
    <w:basedOn w:val="26"/>
    <w:autoRedefine/>
    <w:semiHidden/>
    <w:unhideWhenUsed/>
    <w:qFormat/>
    <w:uiPriority w:val="99"/>
    <w:rPr>
      <w:vertAlign w:val="superscript"/>
    </w:rPr>
  </w:style>
  <w:style w:type="character" w:styleId="29">
    <w:name w:val="FollowedHyperlink"/>
    <w:basedOn w:val="26"/>
    <w:autoRedefine/>
    <w:semiHidden/>
    <w:unhideWhenUsed/>
    <w:qFormat/>
    <w:uiPriority w:val="99"/>
    <w:rPr>
      <w:color w:val="96607D" w:themeColor="followedHyperlink"/>
      <w:u w:val="single"/>
      <w14:textFill>
        <w14:solidFill>
          <w14:schemeClr w14:val="folHlink"/>
        </w14:solidFill>
      </w14:textFill>
    </w:rPr>
  </w:style>
  <w:style w:type="character" w:styleId="30">
    <w:name w:val="Emphasis"/>
    <w:basedOn w:val="26"/>
    <w:autoRedefine/>
    <w:qFormat/>
    <w:uiPriority w:val="20"/>
    <w:rPr>
      <w:i/>
      <w:iCs/>
    </w:rPr>
  </w:style>
  <w:style w:type="character" w:styleId="31">
    <w:name w:val="Hyperlink"/>
    <w:basedOn w:val="26"/>
    <w:autoRedefine/>
    <w:unhideWhenUsed/>
    <w:qFormat/>
    <w:uiPriority w:val="99"/>
    <w:rPr>
      <w:color w:val="467886" w:themeColor="hyperlink"/>
      <w:u w:val="single"/>
      <w14:textFill>
        <w14:solidFill>
          <w14:schemeClr w14:val="hlink"/>
        </w14:solidFill>
      </w14:textFill>
    </w:rPr>
  </w:style>
  <w:style w:type="character" w:styleId="32">
    <w:name w:val="annotation reference"/>
    <w:basedOn w:val="26"/>
    <w:semiHidden/>
    <w:unhideWhenUsed/>
    <w:qFormat/>
    <w:uiPriority w:val="99"/>
    <w:rPr>
      <w:sz w:val="21"/>
      <w:szCs w:val="21"/>
    </w:rPr>
  </w:style>
  <w:style w:type="character" w:styleId="33">
    <w:name w:val="footnote reference"/>
    <w:basedOn w:val="26"/>
    <w:autoRedefine/>
    <w:semiHidden/>
    <w:unhideWhenUsed/>
    <w:qFormat/>
    <w:uiPriority w:val="99"/>
    <w:rPr>
      <w:vertAlign w:val="superscript"/>
    </w:rPr>
  </w:style>
  <w:style w:type="character" w:customStyle="1" w:styleId="34">
    <w:name w:val="标题 1 字符"/>
    <w:basedOn w:val="26"/>
    <w:link w:val="2"/>
    <w:autoRedefine/>
    <w:qFormat/>
    <w:uiPriority w:val="9"/>
    <w:rPr>
      <w:rFonts w:asciiTheme="majorHAnsi" w:hAnsiTheme="majorHAnsi" w:eastAsiaTheme="majorEastAsia" w:cstheme="majorBidi"/>
      <w:color w:val="104862" w:themeColor="accent1" w:themeShade="BF"/>
      <w:sz w:val="48"/>
      <w:szCs w:val="48"/>
    </w:rPr>
  </w:style>
  <w:style w:type="character" w:customStyle="1" w:styleId="35">
    <w:name w:val="标题 2 字符"/>
    <w:basedOn w:val="26"/>
    <w:link w:val="3"/>
    <w:autoRedefine/>
    <w:qFormat/>
    <w:uiPriority w:val="9"/>
    <w:rPr>
      <w:rFonts w:asciiTheme="majorHAnsi" w:hAnsiTheme="majorHAnsi" w:eastAsiaTheme="majorEastAsia" w:cstheme="majorBidi"/>
      <w:color w:val="104862" w:themeColor="accent1" w:themeShade="BF"/>
      <w:sz w:val="40"/>
      <w:szCs w:val="40"/>
    </w:rPr>
  </w:style>
  <w:style w:type="character" w:customStyle="1" w:styleId="36">
    <w:name w:val="标题 3 字符"/>
    <w:basedOn w:val="26"/>
    <w:link w:val="4"/>
    <w:autoRedefine/>
    <w:qFormat/>
    <w:uiPriority w:val="9"/>
    <w:rPr>
      <w:rFonts w:asciiTheme="majorHAnsi" w:hAnsiTheme="majorHAnsi" w:eastAsiaTheme="majorEastAsia" w:cstheme="majorBidi"/>
      <w:color w:val="104862" w:themeColor="accent1" w:themeShade="BF"/>
      <w:sz w:val="32"/>
      <w:szCs w:val="32"/>
    </w:rPr>
  </w:style>
  <w:style w:type="character" w:customStyle="1" w:styleId="37">
    <w:name w:val="标题 4 字符"/>
    <w:basedOn w:val="26"/>
    <w:link w:val="5"/>
    <w:autoRedefine/>
    <w:semiHidden/>
    <w:uiPriority w:val="9"/>
    <w:rPr>
      <w:rFonts w:cstheme="majorBidi"/>
      <w:color w:val="104862" w:themeColor="accent1" w:themeShade="BF"/>
      <w:sz w:val="28"/>
      <w:szCs w:val="28"/>
    </w:rPr>
  </w:style>
  <w:style w:type="character" w:customStyle="1" w:styleId="38">
    <w:name w:val="标题 5 字符"/>
    <w:basedOn w:val="26"/>
    <w:link w:val="6"/>
    <w:autoRedefine/>
    <w:semiHidden/>
    <w:qFormat/>
    <w:uiPriority w:val="9"/>
    <w:rPr>
      <w:rFonts w:cstheme="majorBidi"/>
      <w:color w:val="104862" w:themeColor="accent1" w:themeShade="BF"/>
      <w:sz w:val="24"/>
      <w:szCs w:val="24"/>
    </w:rPr>
  </w:style>
  <w:style w:type="character" w:customStyle="1" w:styleId="39">
    <w:name w:val="标题 6 字符"/>
    <w:basedOn w:val="26"/>
    <w:link w:val="7"/>
    <w:autoRedefine/>
    <w:semiHidden/>
    <w:qFormat/>
    <w:uiPriority w:val="9"/>
    <w:rPr>
      <w:rFonts w:cstheme="majorBidi"/>
      <w:b/>
      <w:bCs/>
      <w:color w:val="104862" w:themeColor="accent1" w:themeShade="BF"/>
    </w:rPr>
  </w:style>
  <w:style w:type="character" w:customStyle="1" w:styleId="40">
    <w:name w:val="标题 7 字符"/>
    <w:basedOn w:val="26"/>
    <w:link w:val="8"/>
    <w:autoRedefine/>
    <w:semiHidden/>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41">
    <w:name w:val="标题 8 字符"/>
    <w:basedOn w:val="26"/>
    <w:link w:val="9"/>
    <w:autoRedefine/>
    <w:semiHidden/>
    <w:qFormat/>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42">
    <w:name w:val="标题 9 字符"/>
    <w:basedOn w:val="26"/>
    <w:link w:val="10"/>
    <w:autoRedefine/>
    <w:semiHidden/>
    <w:qFormat/>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43">
    <w:name w:val="标题 字符"/>
    <w:basedOn w:val="26"/>
    <w:link w:val="22"/>
    <w:autoRedefine/>
    <w:qFormat/>
    <w:uiPriority w:val="10"/>
    <w:rPr>
      <w:rFonts w:asciiTheme="majorHAnsi" w:hAnsiTheme="majorHAnsi" w:eastAsiaTheme="majorEastAsia" w:cstheme="majorBidi"/>
      <w:spacing w:val="-10"/>
      <w:kern w:val="28"/>
      <w:sz w:val="56"/>
      <w:szCs w:val="56"/>
    </w:rPr>
  </w:style>
  <w:style w:type="character" w:customStyle="1" w:styleId="44">
    <w:name w:val="副标题 字符"/>
    <w:basedOn w:val="26"/>
    <w:link w:val="18"/>
    <w:autoRedefine/>
    <w:qFormat/>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45">
    <w:name w:val="Quote"/>
    <w:basedOn w:val="1"/>
    <w:next w:val="1"/>
    <w:link w:val="46"/>
    <w:autoRedefine/>
    <w:qFormat/>
    <w:uiPriority w:val="29"/>
    <w:pPr>
      <w:spacing w:before="160" w:after="160"/>
      <w:jc w:val="center"/>
    </w:pPr>
    <w:rPr>
      <w:i/>
      <w:iCs/>
      <w:color w:val="404040" w:themeColor="text1" w:themeTint="BF"/>
      <w14:textFill>
        <w14:solidFill>
          <w14:schemeClr w14:val="tx1">
            <w14:lumMod w14:val="75000"/>
            <w14:lumOff w14:val="25000"/>
          </w14:schemeClr>
        </w14:solidFill>
      </w14:textFill>
    </w:rPr>
  </w:style>
  <w:style w:type="character" w:customStyle="1" w:styleId="46">
    <w:name w:val="引用 字符"/>
    <w:basedOn w:val="26"/>
    <w:link w:val="45"/>
    <w:qFormat/>
    <w:uiPriority w:val="29"/>
    <w:rPr>
      <w:i/>
      <w:iCs/>
      <w:color w:val="404040" w:themeColor="text1" w:themeTint="BF"/>
      <w14:textFill>
        <w14:solidFill>
          <w14:schemeClr w14:val="tx1">
            <w14:lumMod w14:val="75000"/>
            <w14:lumOff w14:val="25000"/>
          </w14:schemeClr>
        </w14:solidFill>
      </w14:textFill>
    </w:rPr>
  </w:style>
  <w:style w:type="paragraph" w:styleId="47">
    <w:name w:val="List Paragraph"/>
    <w:basedOn w:val="1"/>
    <w:qFormat/>
    <w:uiPriority w:val="34"/>
    <w:pPr>
      <w:ind w:left="720"/>
      <w:contextualSpacing/>
    </w:pPr>
  </w:style>
  <w:style w:type="character" w:customStyle="1" w:styleId="48">
    <w:name w:val="Intense Emphasis"/>
    <w:basedOn w:val="26"/>
    <w:autoRedefine/>
    <w:qFormat/>
    <w:uiPriority w:val="21"/>
    <w:rPr>
      <w:i/>
      <w:iCs/>
      <w:color w:val="104862" w:themeColor="accent1" w:themeShade="BF"/>
    </w:rPr>
  </w:style>
  <w:style w:type="paragraph" w:styleId="49">
    <w:name w:val="Intense Quote"/>
    <w:basedOn w:val="1"/>
    <w:next w:val="1"/>
    <w:link w:val="50"/>
    <w:autoRedefine/>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50">
    <w:name w:val="明显引用 字符"/>
    <w:basedOn w:val="26"/>
    <w:link w:val="49"/>
    <w:qFormat/>
    <w:uiPriority w:val="30"/>
    <w:rPr>
      <w:i/>
      <w:iCs/>
      <w:color w:val="104862" w:themeColor="accent1" w:themeShade="BF"/>
    </w:rPr>
  </w:style>
  <w:style w:type="character" w:customStyle="1" w:styleId="51">
    <w:name w:val="Intense Reference"/>
    <w:basedOn w:val="26"/>
    <w:autoRedefine/>
    <w:qFormat/>
    <w:uiPriority w:val="32"/>
    <w:rPr>
      <w:b/>
      <w:bCs/>
      <w:smallCaps/>
      <w:color w:val="104862" w:themeColor="accent1" w:themeShade="BF"/>
      <w:spacing w:val="5"/>
    </w:rPr>
  </w:style>
  <w:style w:type="character" w:customStyle="1" w:styleId="52">
    <w:name w:val="页眉 字符"/>
    <w:basedOn w:val="26"/>
    <w:link w:val="16"/>
    <w:autoRedefine/>
    <w:qFormat/>
    <w:uiPriority w:val="99"/>
    <w:rPr>
      <w:sz w:val="18"/>
      <w:szCs w:val="18"/>
    </w:rPr>
  </w:style>
  <w:style w:type="character" w:customStyle="1" w:styleId="53">
    <w:name w:val="页脚 字符"/>
    <w:basedOn w:val="26"/>
    <w:link w:val="15"/>
    <w:autoRedefine/>
    <w:qFormat/>
    <w:uiPriority w:val="99"/>
    <w:rPr>
      <w:sz w:val="18"/>
      <w:szCs w:val="18"/>
    </w:rPr>
  </w:style>
  <w:style w:type="character" w:customStyle="1" w:styleId="54">
    <w:name w:val="脚注文本 字符"/>
    <w:basedOn w:val="26"/>
    <w:link w:val="19"/>
    <w:autoRedefine/>
    <w:qFormat/>
    <w:uiPriority w:val="99"/>
    <w:rPr>
      <w:sz w:val="18"/>
      <w:szCs w:val="18"/>
    </w:rPr>
  </w:style>
  <w:style w:type="character" w:customStyle="1" w:styleId="55">
    <w:name w:val="Unresolved Mention"/>
    <w:basedOn w:val="26"/>
    <w:autoRedefine/>
    <w:semiHidden/>
    <w:unhideWhenUsed/>
    <w:qFormat/>
    <w:uiPriority w:val="99"/>
    <w:rPr>
      <w:color w:val="605E5C"/>
      <w:shd w:val="clear" w:color="auto" w:fill="E1DFDD"/>
    </w:rPr>
  </w:style>
  <w:style w:type="character" w:customStyle="1" w:styleId="56">
    <w:name w:val="fontstyle01"/>
    <w:basedOn w:val="26"/>
    <w:autoRedefine/>
    <w:qFormat/>
    <w:uiPriority w:val="0"/>
    <w:rPr>
      <w:rFonts w:hint="default" w:ascii="SSJ4+ZLRFLA-1" w:hAnsi="SSJ4+ZLRFLA-1"/>
      <w:color w:val="000000"/>
      <w:sz w:val="22"/>
      <w:szCs w:val="22"/>
    </w:rPr>
  </w:style>
  <w:style w:type="character" w:customStyle="1" w:styleId="57">
    <w:name w:val="fontstyle18"/>
    <w:basedOn w:val="26"/>
    <w:autoRedefine/>
    <w:qFormat/>
    <w:uiPriority w:val="0"/>
    <w:rPr>
      <w:rFonts w:hint="default" w:ascii="FZSSK--GBK1-00+ZLRFLA-10" w:hAnsi="FZSSK--GBK1-00+ZLRFLA-10"/>
      <w:color w:val="000000"/>
      <w:sz w:val="22"/>
      <w:szCs w:val="22"/>
    </w:rPr>
  </w:style>
  <w:style w:type="character" w:customStyle="1" w:styleId="58">
    <w:name w:val="fontstyle21"/>
    <w:basedOn w:val="26"/>
    <w:autoRedefine/>
    <w:qFormat/>
    <w:uiPriority w:val="0"/>
    <w:rPr>
      <w:rFonts w:hint="default" w:ascii="FZSSK--GBK1-00+ZLRFLA-9" w:hAnsi="FZSSK--GBK1-00+ZLRFLA-9"/>
      <w:color w:val="000000"/>
      <w:sz w:val="22"/>
      <w:szCs w:val="22"/>
    </w:rPr>
  </w:style>
  <w:style w:type="character" w:customStyle="1" w:styleId="59">
    <w:name w:val="fontstyle31"/>
    <w:basedOn w:val="26"/>
    <w:autoRedefine/>
    <w:qFormat/>
    <w:uiPriority w:val="0"/>
    <w:rPr>
      <w:rFonts w:hint="default" w:ascii="FZSSK--GBK1-00+ZLRFLB-13" w:hAnsi="FZSSK--GBK1-00+ZLRFLB-13"/>
      <w:color w:val="000000"/>
      <w:sz w:val="22"/>
      <w:szCs w:val="22"/>
    </w:rPr>
  </w:style>
  <w:style w:type="character" w:customStyle="1" w:styleId="60">
    <w:name w:val="fontstyle41"/>
    <w:basedOn w:val="26"/>
    <w:autoRedefine/>
    <w:qFormat/>
    <w:uiPriority w:val="0"/>
    <w:rPr>
      <w:rFonts w:hint="default" w:ascii="FZSSK--GBK1-00+ZLRFLB-12" w:hAnsi="FZSSK--GBK1-00+ZLRFLB-12"/>
      <w:color w:val="000000"/>
      <w:sz w:val="22"/>
      <w:szCs w:val="22"/>
    </w:rPr>
  </w:style>
  <w:style w:type="character" w:customStyle="1" w:styleId="61">
    <w:name w:val="fontstyle51"/>
    <w:basedOn w:val="26"/>
    <w:qFormat/>
    <w:uiPriority w:val="0"/>
    <w:rPr>
      <w:rFonts w:hint="default" w:ascii="FZSSK--GBK1-00+ZLRFLB-11" w:hAnsi="FZSSK--GBK1-00+ZLRFLB-11"/>
      <w:color w:val="000000"/>
      <w:sz w:val="22"/>
      <w:szCs w:val="22"/>
    </w:rPr>
  </w:style>
  <w:style w:type="character" w:customStyle="1" w:styleId="62">
    <w:name w:val="fontstyle61"/>
    <w:basedOn w:val="26"/>
    <w:autoRedefine/>
    <w:qFormat/>
    <w:uiPriority w:val="0"/>
    <w:rPr>
      <w:rFonts w:hint="default" w:ascii="FZSSK--GBK1-00+ZLRFLB-19" w:hAnsi="FZSSK--GBK1-00+ZLRFLB-19"/>
      <w:color w:val="000000"/>
      <w:sz w:val="22"/>
      <w:szCs w:val="22"/>
    </w:rPr>
  </w:style>
  <w:style w:type="character" w:customStyle="1" w:styleId="63">
    <w:name w:val="fontstyle71"/>
    <w:basedOn w:val="26"/>
    <w:autoRedefine/>
    <w:uiPriority w:val="0"/>
    <w:rPr>
      <w:rFonts w:hint="default" w:ascii="FZSSK--GBK1-00+ZLRFLB-16" w:hAnsi="FZSSK--GBK1-00+ZLRFLB-16"/>
      <w:color w:val="000000"/>
      <w:sz w:val="22"/>
      <w:szCs w:val="22"/>
    </w:rPr>
  </w:style>
  <w:style w:type="character" w:customStyle="1" w:styleId="64">
    <w:name w:val="fontstyle81"/>
    <w:basedOn w:val="26"/>
    <w:autoRedefine/>
    <w:qFormat/>
    <w:uiPriority w:val="0"/>
    <w:rPr>
      <w:rFonts w:hint="default" w:ascii="FZSSK--GBK1-00+ZLRFLB-14" w:hAnsi="FZSSK--GBK1-00+ZLRFLB-14"/>
      <w:color w:val="000000"/>
      <w:sz w:val="22"/>
      <w:szCs w:val="22"/>
    </w:rPr>
  </w:style>
  <w:style w:type="character" w:customStyle="1" w:styleId="65">
    <w:name w:val="fontstyle101"/>
    <w:basedOn w:val="26"/>
    <w:autoRedefine/>
    <w:qFormat/>
    <w:uiPriority w:val="0"/>
    <w:rPr>
      <w:rFonts w:hint="default" w:ascii="FZSSK--GBK1-00+ZLRFLC-22" w:hAnsi="FZSSK--GBK1-00+ZLRFLC-22"/>
      <w:color w:val="000000"/>
      <w:sz w:val="22"/>
      <w:szCs w:val="22"/>
    </w:rPr>
  </w:style>
  <w:style w:type="character" w:customStyle="1" w:styleId="66">
    <w:name w:val="fontstyle111"/>
    <w:basedOn w:val="26"/>
    <w:autoRedefine/>
    <w:qFormat/>
    <w:uiPriority w:val="0"/>
    <w:rPr>
      <w:rFonts w:hint="default" w:ascii="FZSSK--GBK1-00+ZLRFLK-36" w:hAnsi="FZSSK--GBK1-00+ZLRFLK-36"/>
      <w:color w:val="000000"/>
      <w:sz w:val="22"/>
      <w:szCs w:val="22"/>
    </w:rPr>
  </w:style>
  <w:style w:type="character" w:customStyle="1" w:styleId="67">
    <w:name w:val="fontstyle121"/>
    <w:basedOn w:val="26"/>
    <w:autoRedefine/>
    <w:qFormat/>
    <w:uiPriority w:val="0"/>
    <w:rPr>
      <w:rFonts w:hint="default" w:ascii="FZSSK--GBK1-00+ZLRFLT-44" w:hAnsi="FZSSK--GBK1-00+ZLRFLT-44"/>
      <w:color w:val="000000"/>
      <w:sz w:val="22"/>
      <w:szCs w:val="22"/>
    </w:rPr>
  </w:style>
  <w:style w:type="character" w:customStyle="1" w:styleId="68">
    <w:name w:val="fontstyle131"/>
    <w:basedOn w:val="26"/>
    <w:autoRedefine/>
    <w:qFormat/>
    <w:uiPriority w:val="0"/>
    <w:rPr>
      <w:rFonts w:hint="default" w:ascii="FZSSK--GBK1-00+ZLRFLC-20" w:hAnsi="FZSSK--GBK1-00+ZLRFLC-20"/>
      <w:color w:val="000000"/>
      <w:sz w:val="22"/>
      <w:szCs w:val="22"/>
    </w:rPr>
  </w:style>
  <w:style w:type="character" w:customStyle="1" w:styleId="69">
    <w:name w:val="fontstyle141"/>
    <w:basedOn w:val="26"/>
    <w:autoRedefine/>
    <w:qFormat/>
    <w:uiPriority w:val="0"/>
    <w:rPr>
      <w:rFonts w:hint="default" w:ascii="E-BZ+ZLRFLA-2" w:hAnsi="E-BZ+ZLRFLA-2"/>
      <w:color w:val="000000"/>
      <w:sz w:val="22"/>
      <w:szCs w:val="22"/>
    </w:rPr>
  </w:style>
  <w:style w:type="character" w:customStyle="1" w:styleId="70">
    <w:name w:val="fontstyle151"/>
    <w:basedOn w:val="26"/>
    <w:autoRedefine/>
    <w:qFormat/>
    <w:uiPriority w:val="0"/>
    <w:rPr>
      <w:rFonts w:hint="default" w:ascii="FZSSK--GBK1-00+ZLRFLP-41" w:hAnsi="FZSSK--GBK1-00+ZLRFLP-41"/>
      <w:color w:val="000000"/>
      <w:sz w:val="22"/>
      <w:szCs w:val="22"/>
    </w:rPr>
  </w:style>
  <w:style w:type="character" w:customStyle="1" w:styleId="71">
    <w:name w:val="fontstyle161"/>
    <w:basedOn w:val="26"/>
    <w:autoRedefine/>
    <w:qFormat/>
    <w:uiPriority w:val="0"/>
    <w:rPr>
      <w:rFonts w:hint="default" w:ascii="FZSSK--GBK1-00+ZLRFLE-29" w:hAnsi="FZSSK--GBK1-00+ZLRFLE-29"/>
      <w:color w:val="000000"/>
      <w:sz w:val="22"/>
      <w:szCs w:val="22"/>
    </w:rPr>
  </w:style>
  <w:style w:type="character" w:customStyle="1" w:styleId="72">
    <w:name w:val="fontstyle171"/>
    <w:basedOn w:val="26"/>
    <w:autoRedefine/>
    <w:uiPriority w:val="0"/>
    <w:rPr>
      <w:rFonts w:hint="default" w:ascii="FSJ0+ZLRFLA-6" w:hAnsi="FSJ0+ZLRFLA-6"/>
      <w:color w:val="000000"/>
      <w:sz w:val="22"/>
      <w:szCs w:val="22"/>
    </w:rPr>
  </w:style>
  <w:style w:type="character" w:customStyle="1" w:styleId="73">
    <w:name w:val="fontstyle11"/>
    <w:basedOn w:val="26"/>
    <w:autoRedefine/>
    <w:qFormat/>
    <w:uiPriority w:val="0"/>
    <w:rPr>
      <w:color w:val="242021"/>
      <w:sz w:val="20"/>
      <w:szCs w:val="20"/>
    </w:rPr>
  </w:style>
  <w:style w:type="character" w:customStyle="1" w:styleId="74">
    <w:name w:val="15"/>
    <w:basedOn w:val="26"/>
    <w:autoRedefine/>
    <w:qFormat/>
    <w:uiPriority w:val="0"/>
  </w:style>
  <w:style w:type="character" w:customStyle="1" w:styleId="75">
    <w:name w:val="批注框文本 字符"/>
    <w:basedOn w:val="26"/>
    <w:link w:val="14"/>
    <w:autoRedefine/>
    <w:semiHidden/>
    <w:qFormat/>
    <w:uiPriority w:val="99"/>
    <w:rPr>
      <w:sz w:val="18"/>
      <w:szCs w:val="18"/>
    </w:rPr>
  </w:style>
  <w:style w:type="character" w:customStyle="1" w:styleId="76">
    <w:name w:val="fontstyle91"/>
    <w:basedOn w:val="26"/>
    <w:autoRedefine/>
    <w:qFormat/>
    <w:uiPriority w:val="0"/>
    <w:rPr>
      <w:rFonts w:hint="default" w:ascii="KTJ+ZJXGU2-16" w:hAnsi="KTJ+ZJXGU2-16"/>
      <w:color w:val="242021"/>
      <w:sz w:val="20"/>
      <w:szCs w:val="20"/>
    </w:rPr>
  </w:style>
  <w:style w:type="character" w:customStyle="1" w:styleId="77">
    <w:name w:val="批注文字 字符"/>
    <w:basedOn w:val="26"/>
    <w:link w:val="12"/>
    <w:qFormat/>
    <w:uiPriority w:val="99"/>
  </w:style>
  <w:style w:type="character" w:customStyle="1" w:styleId="78">
    <w:name w:val="批注主题 字符"/>
    <w:basedOn w:val="77"/>
    <w:link w:val="23"/>
    <w:autoRedefine/>
    <w:semiHidden/>
    <w:qFormat/>
    <w:uiPriority w:val="99"/>
    <w:rPr>
      <w:b/>
      <w:bCs/>
    </w:rPr>
  </w:style>
  <w:style w:type="character" w:customStyle="1" w:styleId="79">
    <w:name w:val="fontstyle16"/>
    <w:basedOn w:val="26"/>
    <w:autoRedefine/>
    <w:qFormat/>
    <w:uiPriority w:val="0"/>
    <w:rPr>
      <w:rFonts w:hint="default" w:ascii="KTJ+ZLTHP5-9" w:hAnsi="KTJ+ZLTHP5-9"/>
      <w:color w:val="242021"/>
      <w:sz w:val="20"/>
      <w:szCs w:val="20"/>
    </w:rPr>
  </w:style>
  <w:style w:type="character" w:customStyle="1" w:styleId="80">
    <w:name w:val="fontstyle13"/>
    <w:basedOn w:val="26"/>
    <w:qFormat/>
    <w:uiPriority w:val="0"/>
    <w:rPr>
      <w:rFonts w:hint="default" w:ascii="KTJ+ZLTHP5-10" w:hAnsi="KTJ+ZLTHP5-10"/>
      <w:color w:val="242021"/>
      <w:sz w:val="20"/>
      <w:szCs w:val="20"/>
    </w:rPr>
  </w:style>
  <w:style w:type="character" w:customStyle="1" w:styleId="81">
    <w:name w:val="fontstyle12"/>
    <w:basedOn w:val="26"/>
    <w:autoRedefine/>
    <w:qFormat/>
    <w:uiPriority w:val="0"/>
    <w:rPr>
      <w:rFonts w:hint="default" w:ascii="KTJ+ZLTHQC-137" w:hAnsi="KTJ+ZLTHQC-137"/>
      <w:color w:val="242021"/>
      <w:sz w:val="20"/>
      <w:szCs w:val="20"/>
    </w:rPr>
  </w:style>
  <w:style w:type="character" w:customStyle="1" w:styleId="82">
    <w:name w:val="fontstyle17"/>
    <w:basedOn w:val="26"/>
    <w:autoRedefine/>
    <w:qFormat/>
    <w:uiPriority w:val="0"/>
    <w:rPr>
      <w:rFonts w:hint="default" w:ascii="KTJ+ZMXHVq-467" w:hAnsi="KTJ+ZMXHVq-467"/>
      <w:color w:val="242021"/>
      <w:sz w:val="16"/>
      <w:szCs w:val="16"/>
    </w:rPr>
  </w:style>
  <w:style w:type="character" w:customStyle="1" w:styleId="83">
    <w:name w:val="尾注文本 字符"/>
    <w:basedOn w:val="26"/>
    <w:link w:val="13"/>
    <w:autoRedefine/>
    <w:qFormat/>
    <w:uiPriority w:val="99"/>
  </w:style>
  <w:style w:type="character" w:customStyle="1" w:styleId="84">
    <w:name w:val="fontstyle15"/>
    <w:basedOn w:val="26"/>
    <w:autoRedefine/>
    <w:qFormat/>
    <w:uiPriority w:val="0"/>
    <w:rPr>
      <w:rFonts w:hint="default" w:ascii="KTJ+ZMcIH8-18" w:hAnsi="KTJ+ZMcIH8-18"/>
      <w:color w:val="242021"/>
      <w:sz w:val="20"/>
      <w:szCs w:val="20"/>
    </w:rPr>
  </w:style>
  <w:style w:type="paragraph" w:customStyle="1" w:styleId="85">
    <w:name w:val="TOC Heading"/>
    <w:basedOn w:val="2"/>
    <w:next w:val="1"/>
    <w:autoRedefine/>
    <w:unhideWhenUsed/>
    <w:qFormat/>
    <w:uiPriority w:val="39"/>
    <w:pPr>
      <w:widowControl/>
      <w:spacing w:before="240" w:after="0" w:line="259" w:lineRule="auto"/>
      <w:jc w:val="left"/>
      <w:outlineLvl w:val="9"/>
    </w:pPr>
    <w:rPr>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D353-2A93-4426-B6AC-F4BF75BC6733}">
  <ds:schemaRefs/>
</ds:datastoreItem>
</file>

<file path=docProps/app.xml><?xml version="1.0" encoding="utf-8"?>
<Properties xmlns="http://schemas.openxmlformats.org/officeDocument/2006/extended-properties" xmlns:vt="http://schemas.openxmlformats.org/officeDocument/2006/docPropsVTypes">
  <Template>Normal.dotm</Template>
  <Pages>9</Pages>
  <Words>1982</Words>
  <Characters>11302</Characters>
  <Lines>94</Lines>
  <Paragraphs>26</Paragraphs>
  <TotalTime>0</TotalTime>
  <ScaleCrop>false</ScaleCrop>
  <LinksUpToDate>false</LinksUpToDate>
  <CharactersWithSpaces>13258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2024-03-02T04:35:00Z</dcterms:created>
  <dc:creator>bowen sun</dc:creator>
  <cp:lastModifiedBy>刘京</cp:lastModifiedBy>
  <dcterms:modified xsi:type="dcterms:W3CDTF">2024-03-17T11:44:52Z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2B07C0B1BF62434C825F69A242F94DC2_12</vt:lpwstr>
  </property>
</Properties>
</file>