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公共性发展金融与企业创新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许 坤  刘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pStyle w:val="10"/>
        <w:spacing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10"/>
        <w:spacing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目 录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797119776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1"/>
            <w:rPr>
              <w:sz w:val="44"/>
            </w:rPr>
          </w:pPr>
        </w:p>
        <w:p>
          <w:pPr>
            <w:pStyle w:val="5"/>
            <w:widowControl/>
            <w:tabs>
              <w:tab w:val="right" w:leader="dot" w:pos="8306"/>
            </w:tabs>
            <w:spacing w:after="100" w:line="259" w:lineRule="auto"/>
            <w:jc w:val="left"/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</w:pP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TOC \o "1-3" \h \z \u </w:instrText>
          </w:r>
          <w:r>
            <w:rPr>
              <w:sz w:val="28"/>
            </w:rPr>
            <w:fldChar w:fldCharType="separate"/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  <w:fldChar w:fldCharType="begin"/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  <w:instrText xml:space="preserve"> HYPERLINK \l "_Toc150445072" </w:instrText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  <w:fldChar w:fldCharType="separate"/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  <w:t>附录</w:t>
          </w:r>
          <w:r>
            <w:rPr>
              <w:rFonts w:hint="eastAsia" w:ascii="宋体" w:hAnsi="宋体" w:eastAsia="宋体" w:cs="宋体"/>
              <w:i w:val="0"/>
              <w:iCs w:val="0"/>
              <w:kern w:val="0"/>
              <w:sz w:val="22"/>
              <w:szCs w:val="22"/>
            </w:rPr>
            <w:t>Ⅰ</w:t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  <w:t xml:space="preserve"> 异质性分析部分回归结果</w:t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  <w:tab/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  <w:lang w:val="en-US" w:eastAsia="zh-CN"/>
            </w:rPr>
            <w:t>1</w:t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  <w:fldChar w:fldCharType="end"/>
          </w:r>
        </w:p>
        <w:p>
          <w:pPr>
            <w:pStyle w:val="5"/>
            <w:widowControl/>
            <w:tabs>
              <w:tab w:val="right" w:leader="dot" w:pos="8306"/>
            </w:tabs>
            <w:spacing w:after="100" w:line="259" w:lineRule="auto"/>
            <w:jc w:val="left"/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</w:pP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  <w:fldChar w:fldCharType="begin"/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  <w:instrText xml:space="preserve"> HYPERLINK \l "_Toc150445073" </w:instrText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  <w:fldChar w:fldCharType="separate"/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  <w:t>附录Ⅱ 稳健性检验部分回归结果</w:t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  <w:tab/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  <w:lang w:val="en-US" w:eastAsia="zh-CN"/>
            </w:rPr>
            <w:t>3</w:t>
          </w:r>
          <w:r>
            <w:rPr>
              <w:rFonts w:hint="eastAsia" w:ascii="仿宋" w:hAnsi="仿宋" w:eastAsia="仿宋" w:cs="仿宋"/>
              <w:i w:val="0"/>
              <w:iCs w:val="0"/>
              <w:kern w:val="0"/>
              <w:sz w:val="22"/>
              <w:szCs w:val="22"/>
            </w:rPr>
            <w:fldChar w:fldCharType="end"/>
          </w:r>
          <w:bookmarkStart w:id="0" w:name="_GoBack"/>
          <w:bookmarkEnd w:id="0"/>
        </w:p>
        <w:p>
          <w:pPr>
            <w:pStyle w:val="5"/>
            <w:widowControl/>
            <w:tabs>
              <w:tab w:val="right" w:leader="dot" w:pos="8306"/>
            </w:tabs>
            <w:spacing w:after="100" w:line="259" w:lineRule="auto"/>
            <w:jc w:val="left"/>
            <w:rPr>
              <w:rFonts w:hint="eastAsia" w:eastAsiaTheme="minorEastAsia"/>
              <w:sz w:val="28"/>
              <w:lang w:eastAsia="zh-CN"/>
            </w:rPr>
          </w:pPr>
        </w:p>
        <w:p/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textAlignment w:val="auto"/>
            <w:outlineLvl w:val="0"/>
            <w:rPr>
              <w:rFonts w:hint="eastAsia" w:ascii="黑体" w:hAnsi="黑体" w:eastAsia="黑体" w:cs="黑体"/>
              <w:sz w:val="24"/>
              <w:szCs w:val="32"/>
              <w:lang w:val="en-US" w:eastAsia="zh-CN"/>
            </w:rPr>
          </w:pPr>
          <w:r>
            <w:rPr>
              <w:b/>
              <w:bCs/>
              <w:sz w:val="28"/>
              <w:lang w:val="zh-CN"/>
            </w:rPr>
            <w:fldChar w:fldCharType="end"/>
          </w:r>
        </w:p>
      </w:sdtContent>
    </w:sdt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附录Ⅰ异质性分析部分回归结果</w:t>
      </w:r>
    </w:p>
    <w:p>
      <w:pPr>
        <w:spacing w:line="480" w:lineRule="auto"/>
        <w:ind w:left="420"/>
        <w:outlineLvl w:val="1"/>
        <w:rPr>
          <w:rFonts w:hint="eastAsia" w:ascii="仿宋" w:hAnsi="仿宋" w:eastAsia="仿宋" w:cs="仿宋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1.不同产权性质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表Ⅰ1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国有企业：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公共性发展金融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与企业创新</w:t>
      </w:r>
    </w:p>
    <w:tbl>
      <w:tblPr>
        <w:tblStyle w:val="7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454"/>
        <w:gridCol w:w="1454"/>
        <w:gridCol w:w="1454"/>
        <w:gridCol w:w="1454"/>
        <w:gridCol w:w="1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2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Patents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Non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Asset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Operating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 w:cs="Times New Roman"/>
                <w:i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DFL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" w:cs="Times New Roman"/>
                <w:i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控制变量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行业效应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时间效应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1771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1771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1771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1771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511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468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551</w:t>
            </w:r>
          </w:p>
        </w:tc>
      </w:tr>
    </w:tbl>
    <w:p>
      <w:pPr>
        <w:ind w:firstLine="480"/>
        <w:jc w:val="center"/>
        <w:rPr>
          <w:rFonts w:hint="eastAsia" w:ascii="仿宋" w:hAnsi="仿宋" w:eastAsia="仿宋" w:cs="仿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表Ⅰ2 非国有企业：公共性发展金融与企业创新</w:t>
      </w:r>
    </w:p>
    <w:tbl>
      <w:tblPr>
        <w:tblStyle w:val="7"/>
        <w:tblW w:w="488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20"/>
        <w:gridCol w:w="1420"/>
        <w:gridCol w:w="1421"/>
        <w:gridCol w:w="1421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3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Patents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Non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Asset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Operating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 w:cs="Times New Roman"/>
                <w:i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DFL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" w:cs="Times New Roman"/>
                <w:i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控制变量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行业效应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时间效应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3167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3167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3167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3167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573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</w:tr>
    </w:tbl>
    <w:p>
      <w:pPr>
        <w:ind w:firstLine="420" w:firstLineChars="200"/>
        <w:rPr>
          <w:rFonts w:ascii="仿宋" w:hAnsi="仿宋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left="420"/>
        <w:outlineLvl w:val="1"/>
        <w:rPr>
          <w:rFonts w:hint="eastAsia" w:ascii="仿宋" w:hAnsi="仿宋" w:eastAsia="仿宋" w:cs="仿宋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2.不同科技含量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表Ⅰ3 高科技企业：公共性发展金融与企业创新</w:t>
      </w:r>
    </w:p>
    <w:tbl>
      <w:tblPr>
        <w:tblStyle w:val="7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454"/>
        <w:gridCol w:w="1454"/>
        <w:gridCol w:w="1454"/>
        <w:gridCol w:w="1454"/>
        <w:gridCol w:w="1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2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Patents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Non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Asset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Operating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 w:cs="Times New Roman"/>
                <w:i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DFL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486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157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" w:cs="Times New Roman"/>
                <w:i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控制变量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行业效应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时间效应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2112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2112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2112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2112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484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656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417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表Ⅰ4 非高科技企业：公共性发展金融与企业创新</w:t>
      </w:r>
    </w:p>
    <w:tbl>
      <w:tblPr>
        <w:tblStyle w:val="7"/>
        <w:tblW w:w="488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21"/>
        <w:gridCol w:w="1421"/>
        <w:gridCol w:w="1421"/>
        <w:gridCol w:w="1421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3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Patents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Non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Asset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Operating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 w:cs="Times New Roman"/>
                <w:i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DFL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408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030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(-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" w:cs="Times New Roman"/>
                <w:i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控制变量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行业效应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时间效应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2826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2826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2826</w:t>
            </w: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2826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388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458</w:t>
            </w:r>
          </w:p>
        </w:tc>
      </w:tr>
    </w:tbl>
    <w:p>
      <w:pPr>
        <w:ind w:firstLine="420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附录Ⅱ 稳健性检验部分回归结果</w:t>
      </w:r>
    </w:p>
    <w:p>
      <w:pPr>
        <w:spacing w:line="480" w:lineRule="auto"/>
        <w:ind w:left="420"/>
        <w:outlineLvl w:val="1"/>
        <w:rPr>
          <w:rFonts w:ascii="仿宋" w:hAnsi="仿宋" w:eastAsia="仿宋" w:cs="仿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考虑滞后期影响</w:t>
      </w:r>
    </w:p>
    <w:p>
      <w:pPr>
        <w:tabs>
          <w:tab w:val="left" w:pos="4929"/>
        </w:tabs>
        <w:ind w:firstLine="420"/>
        <w:jc w:val="center"/>
        <w:rPr>
          <w:rFonts w:hint="eastAsia" w:ascii="宋体" w:hAnsi="宋体" w:eastAsia="宋体" w:cs="宋体"/>
          <w:b/>
          <w:bCs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表Ⅱ1</w:t>
      </w:r>
      <w:r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考虑滞后期影响：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公共性发展金融</w:t>
      </w:r>
      <w:r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与企业创新</w:t>
      </w:r>
    </w:p>
    <w:tbl>
      <w:tblPr>
        <w:tblStyle w:val="7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424"/>
        <w:gridCol w:w="1428"/>
        <w:gridCol w:w="1428"/>
        <w:gridCol w:w="1428"/>
        <w:gridCol w:w="1428"/>
      </w:tblGrid>
      <w:tr>
        <w:trPr>
          <w:jc w:val="center"/>
        </w:trPr>
        <w:tc>
          <w:tcPr>
            <w:tcW w:w="81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8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8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8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8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Patents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Non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Asset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Operating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 w:cs="Times New Roman"/>
                <w:i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DFL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838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838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849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838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838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067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96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滞后项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" w:cs="Times New Roman"/>
                <w:i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控制变量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2506</w:t>
            </w:r>
          </w:p>
        </w:tc>
        <w:tc>
          <w:tcPr>
            <w:tcW w:w="838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2506</w:t>
            </w:r>
          </w:p>
        </w:tc>
        <w:tc>
          <w:tcPr>
            <w:tcW w:w="838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2506</w:t>
            </w:r>
          </w:p>
        </w:tc>
        <w:tc>
          <w:tcPr>
            <w:tcW w:w="838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2506</w:t>
            </w:r>
          </w:p>
        </w:tc>
        <w:tc>
          <w:tcPr>
            <w:tcW w:w="838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Wald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959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299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1593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1431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 _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0166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 _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9637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4529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6472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0809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Sargan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4275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9360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0535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4609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0864</w:t>
            </w:r>
          </w:p>
        </w:tc>
      </w:tr>
    </w:tbl>
    <w:p>
      <w:pPr>
        <w:spacing w:line="480" w:lineRule="auto"/>
        <w:ind w:left="420"/>
        <w:outlineLvl w:val="1"/>
        <w:rPr>
          <w:rFonts w:ascii="仿宋" w:hAnsi="仿宋" w:eastAsia="仿宋" w:cs="仿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工具变量</w:t>
      </w:r>
    </w:p>
    <w:p>
      <w:pPr>
        <w:tabs>
          <w:tab w:val="left" w:pos="4929"/>
        </w:tabs>
        <w:ind w:firstLine="420"/>
        <w:jc w:val="center"/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 w:cs="仿宋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Ⅱ</w:t>
      </w:r>
      <w:r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2 工具变量：公共性发展金融与企业创新</w:t>
      </w:r>
    </w:p>
    <w:tbl>
      <w:tblPr>
        <w:tblStyle w:val="7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157"/>
        <w:gridCol w:w="1162"/>
        <w:gridCol w:w="1162"/>
        <w:gridCol w:w="1386"/>
        <w:gridCol w:w="1169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645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96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26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第一阶段</w:t>
            </w:r>
          </w:p>
        </w:tc>
        <w:tc>
          <w:tcPr>
            <w:tcW w:w="3661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第二阶段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 w:cs="Times New Roman"/>
                <w:i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DFL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Patents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Non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Asset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Operating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 w:cs="Times New Roman"/>
                <w:i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DFL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IV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866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Dir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turn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 w:cs="Times New Roman"/>
                <w:i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DFL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" w:cs="Times New Roman"/>
                <w:i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控制变量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行业效应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时间效应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4703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4703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4703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4703</w:t>
            </w:r>
          </w:p>
        </w:tc>
        <w:tc>
          <w:tcPr>
            <w:tcW w:w="696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4703</w:t>
            </w:r>
          </w:p>
        </w:tc>
        <w:tc>
          <w:tcPr>
            <w:tcW w:w="826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识别不足检验（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Chi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sq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354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3015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弱工具变量检验（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354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4120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过度识别检验（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Hansen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value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</w:tr>
    </w:tbl>
    <w:p>
      <w:pPr>
        <w:spacing w:line="480" w:lineRule="auto"/>
        <w:ind w:left="420"/>
        <w:outlineLvl w:val="1"/>
        <w:rPr>
          <w:rFonts w:hint="eastAsia" w:ascii="仿宋" w:hAnsi="仿宋" w:eastAsia="仿宋" w:cs="仿宋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left="420"/>
        <w:outlineLvl w:val="1"/>
        <w:rPr>
          <w:rFonts w:ascii="仿宋" w:hAnsi="仿宋" w:eastAsia="仿宋" w:cs="仿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政策冲击测试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 w:cs="仿宋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Ⅱ</w:t>
      </w:r>
      <w:r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政策冲击下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公共性发展金融</w:t>
      </w:r>
      <w:r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与企业创新</w:t>
      </w:r>
    </w:p>
    <w:tbl>
      <w:tblPr>
        <w:tblStyle w:val="7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426"/>
        <w:gridCol w:w="1430"/>
        <w:gridCol w:w="1430"/>
        <w:gridCol w:w="1431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Patents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Non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Asset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Operating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Policy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仿宋" w:hAnsi="仿宋" w:eastAsia="仿宋" w:cs="Times New Roman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 w:cs="Times New Roman"/>
                <w:i/>
                <w:i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仿宋" w:hAnsi="仿宋" w:eastAsia="仿宋" w:cs="Times New Roman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DFL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961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533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(-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 w:cs="Times New Roman"/>
                <w:i/>
                <w:i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仿宋" w:hAnsi="仿宋" w:eastAsia="仿宋" w:cs="Times New Roman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DFL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Policy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(-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" w:cs="Times New Roman"/>
                <w:i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控制变量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行业效应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时间效应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4938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4938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4938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4938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663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554</w:t>
            </w:r>
          </w:p>
        </w:tc>
      </w:tr>
    </w:tbl>
    <w:p>
      <w:pPr>
        <w:spacing w:line="480" w:lineRule="auto"/>
        <w:ind w:left="420"/>
        <w:outlineLvl w:val="1"/>
        <w:rPr>
          <w:rFonts w:hint="default" w:ascii="仿宋" w:hAnsi="仿宋" w:eastAsia="仿宋" w:cs="仿宋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4.更换解释变量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 w:cs="仿宋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Ⅱ</w:t>
      </w:r>
      <w:r>
        <w:rPr>
          <w:rFonts w:hint="eastAsia" w:ascii="宋体" w:hAnsi="宋体" w:eastAsia="宋体" w:cs="宋体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4 更换变量：公共性发展金融与企业创新</w:t>
      </w:r>
    </w:p>
    <w:tbl>
      <w:tblPr>
        <w:tblStyle w:val="7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426"/>
        <w:gridCol w:w="1430"/>
        <w:gridCol w:w="1430"/>
        <w:gridCol w:w="1431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Patents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Non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Invention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Asset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RDS</w:t>
            </w:r>
            <w:r>
              <w:rPr>
                <w:rFonts w:ascii="Times New Roman" w:hAnsi="Times New Roman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Operating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 w:cs="Times New Roman"/>
                <w:i/>
                <w:i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仿宋" w:hAnsi="仿宋" w:eastAsia="仿宋" w:cs="Times New Roman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DFL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／</w:t>
            </w:r>
            <w:r>
              <w:rPr>
                <w:rFonts w:hint="eastAsia" w:ascii="仿宋" w:hAnsi="仿宋" w:eastAsia="仿宋" w:cs="Times New Roman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Loan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387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***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" w:cs="Times New Roman"/>
                <w:i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控制变量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行业效应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时间效应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4938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4938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4938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4938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</w:t>
            </w:r>
          </w:p>
        </w:tc>
        <w:tc>
          <w:tcPr>
            <w:tcW w:w="840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419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</w:rPr>
        <w:t>下载出处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。</w:t>
      </w:r>
    </w:p>
    <w:p>
      <w:pPr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《</w:t>
    </w:r>
    <w:r>
      <w:rPr>
        <w:rFonts w:hint="eastAsia"/>
        <w:lang w:val="en-US" w:eastAsia="zh-CN"/>
      </w:rPr>
      <w:t>经济学</w:t>
    </w:r>
    <w:r>
      <w:rPr>
        <w:rFonts w:hint="eastAsia"/>
        <w:lang w:eastAsia="zh-CN"/>
      </w:rPr>
      <w:t>》（</w:t>
    </w:r>
    <w:r>
      <w:rPr>
        <w:rFonts w:hint="eastAsia"/>
        <w:lang w:val="en-US" w:eastAsia="zh-CN"/>
      </w:rPr>
      <w:t>季刊</w:t>
    </w:r>
    <w:r>
      <w:rPr>
        <w:rFonts w:hint="eastAsia"/>
        <w:lang w:eastAsia="zh-CN"/>
      </w:rPr>
      <w:t>）</w:t>
    </w:r>
    <w:r>
      <w:rPr>
        <w:rFonts w:hint="eastAsia"/>
        <w:lang w:val="en-US" w:eastAsia="zh-CN"/>
      </w:rPr>
      <w:t xml:space="preserve">                                                              2023年第6期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YTY5MzAxODJhZDAxMGMwZGQwZTA0ZDg0NjA2ZDkifQ=="/>
  </w:docVars>
  <w:rsids>
    <w:rsidRoot w:val="00FA2CE1"/>
    <w:rsid w:val="00FA2CE1"/>
    <w:rsid w:val="21C46D8D"/>
    <w:rsid w:val="224A172C"/>
    <w:rsid w:val="64D92F75"/>
    <w:rsid w:val="75A608A6"/>
    <w:rsid w:val="7A866CE8"/>
    <w:rsid w:val="7B94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720" w:lineRule="auto"/>
      <w:jc w:val="center"/>
      <w:outlineLvl w:val="0"/>
    </w:pPr>
    <w:rPr>
      <w:rFonts w:eastAsia="楷体"/>
      <w:bCs/>
      <w:kern w:val="44"/>
      <w:sz w:val="28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customStyle="1" w:styleId="10">
    <w:name w:val="论文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1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2023-11-19T10:29:00Z</dcterms:created>
  <dc:creator>问道暮思谁</dc:creator>
  <cp:lastModifiedBy>刘京</cp:lastModifiedBy>
  <dcterms:modified xsi:type="dcterms:W3CDTF">2023-11-21T08:58:52Z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365E328EC37F46C7852924C5D0BFE07C_12</vt:lpwstr>
  </property>
</Properties>
</file>