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2"/>
          <w:szCs w:val="32"/>
        </w:rPr>
      </w:pPr>
      <w:bookmarkStart w:id="0" w:name="OLE_LINK3"/>
      <w:r>
        <w:rPr>
          <w:rFonts w:hint="eastAsia" w:ascii="仿宋" w:hAnsi="仿宋" w:eastAsia="仿宋" w:cs="仿宋"/>
          <w:b/>
          <w:bCs/>
          <w:sz w:val="32"/>
          <w:szCs w:val="32"/>
        </w:rPr>
        <w:t>贤得所用：体制引力、人才配置与高质量发展</w:t>
      </w:r>
      <w:bookmarkEnd w:id="0"/>
    </w:p>
    <w:p>
      <w:pPr>
        <w:jc w:val="center"/>
        <w:rPr>
          <w:rFonts w:ascii="宋体" w:hAnsi="宋体" w:eastAsia="宋体" w:cs="宋体"/>
          <w:sz w:val="32"/>
          <w:szCs w:val="32"/>
        </w:rPr>
      </w:pPr>
    </w:p>
    <w:p>
      <w:pPr>
        <w:jc w:val="center"/>
        <w:rPr>
          <w:rFonts w:ascii="楷体" w:hAnsi="楷体" w:eastAsia="楷体" w:cs="仿宋"/>
          <w:sz w:val="28"/>
          <w:szCs w:val="28"/>
        </w:rPr>
      </w:pPr>
      <w:r>
        <w:rPr>
          <w:rFonts w:hint="eastAsia" w:ascii="楷体" w:hAnsi="楷体" w:eastAsia="楷体" w:cs="仿宋"/>
          <w:sz w:val="28"/>
          <w:szCs w:val="28"/>
        </w:rPr>
        <w:t>王炜哲 赵 忠 胡 凯</w:t>
      </w:r>
    </w:p>
    <w:p>
      <w:pPr>
        <w:jc w:val="center"/>
        <w:rPr>
          <w:rFonts w:ascii="楷体" w:hAnsi="楷体" w:eastAsia="楷体" w:cs="仿宋"/>
          <w:szCs w:val="21"/>
        </w:rPr>
      </w:pPr>
    </w:p>
    <w:p>
      <w:pPr>
        <w:pStyle w:val="30"/>
        <w:jc w:val="center"/>
        <w:rPr>
          <w:rFonts w:ascii="仿宋" w:hAnsi="仿宋" w:eastAsia="仿宋" w:cs="仿宋"/>
          <w:b/>
          <w:bCs/>
          <w:sz w:val="28"/>
          <w:szCs w:val="28"/>
        </w:rPr>
      </w:pPr>
      <w:r>
        <w:rPr>
          <w:rFonts w:hint="eastAsia" w:ascii="仿宋" w:hAnsi="仿宋" w:eastAsia="仿宋" w:cs="仿宋"/>
          <w:b/>
          <w:bCs/>
          <w:color w:val="auto"/>
          <w:kern w:val="2"/>
          <w:sz w:val="28"/>
          <w:szCs w:val="28"/>
        </w:rPr>
        <w:t>目录</w:t>
      </w:r>
    </w:p>
    <w:sdt>
      <w:sdtPr>
        <w:rPr>
          <w:rFonts w:asciiTheme="minorHAnsi" w:hAnsiTheme="minorHAnsi" w:eastAsiaTheme="minorEastAsia" w:cstheme="minorBidi"/>
          <w:color w:val="auto"/>
          <w:kern w:val="2"/>
          <w:sz w:val="21"/>
          <w:szCs w:val="22"/>
          <w:lang w:val="zh-CN"/>
        </w:rPr>
        <w:id w:val="-534345100"/>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30"/>
          </w:pPr>
        </w:p>
        <w:p>
          <w:pPr>
            <w:pStyle w:val="9"/>
            <w:tabs>
              <w:tab w:val="right" w:leader="dot" w:pos="8296"/>
            </w:tabs>
            <w:rPr>
              <w:rFonts w:ascii="仿宋" w:hAnsi="仿宋" w:eastAsia="仿宋" w:cs="仿宋"/>
              <w:kern w:val="2"/>
              <w14:ligatures w14:val="standardContextual"/>
            </w:rPr>
          </w:pPr>
          <w:r>
            <w:rPr>
              <w:rFonts w:hint="eastAsia" w:ascii="仿宋" w:hAnsi="仿宋" w:eastAsia="仿宋" w:cs="仿宋"/>
            </w:rPr>
            <w:fldChar w:fldCharType="begin"/>
          </w:r>
          <w:r>
            <w:rPr>
              <w:rFonts w:hint="eastAsia" w:ascii="仿宋" w:hAnsi="仿宋" w:eastAsia="仿宋" w:cs="仿宋"/>
            </w:rPr>
            <w:instrText xml:space="preserve"> TOC \o "1-3" \h \z \u </w:instrText>
          </w:r>
          <w:r>
            <w:rPr>
              <w:rFonts w:hint="eastAsia" w:ascii="仿宋" w:hAnsi="仿宋" w:eastAsia="仿宋" w:cs="仿宋"/>
            </w:rPr>
            <w:fldChar w:fldCharType="separate"/>
          </w:r>
          <w:r>
            <w:fldChar w:fldCharType="begin"/>
          </w:r>
          <w:r>
            <w:instrText xml:space="preserve"> HYPERLINK \l "_Toc159314266" </w:instrText>
          </w:r>
          <w:r>
            <w:fldChar w:fldCharType="separate"/>
          </w:r>
          <w:r>
            <w:rPr>
              <w:rStyle w:val="18"/>
              <w:rFonts w:hint="eastAsia" w:ascii="仿宋" w:hAnsi="仿宋" w:eastAsia="仿宋" w:cs="仿宋"/>
            </w:rPr>
            <w:t>附录Ⅰ 理论模型的推导过程</w:t>
          </w:r>
          <w:r>
            <w:rPr>
              <w:rFonts w:hint="eastAsia" w:ascii="仿宋" w:hAnsi="仿宋" w:eastAsia="仿宋" w:cs="仿宋"/>
            </w:rPr>
            <w:tab/>
          </w:r>
          <w:r>
            <w:rPr>
              <w:rFonts w:hint="eastAsia" w:ascii="仿宋" w:hAnsi="仿宋" w:eastAsia="仿宋" w:cs="仿宋"/>
            </w:rPr>
            <w:t>1</w:t>
          </w:r>
          <w:r>
            <w:rPr>
              <w:rFonts w:hint="eastAsia" w:ascii="仿宋" w:hAnsi="仿宋" w:eastAsia="仿宋" w:cs="仿宋"/>
            </w:rPr>
            <w:fldChar w:fldCharType="end"/>
          </w:r>
        </w:p>
        <w:p>
          <w:pPr>
            <w:pStyle w:val="9"/>
            <w:tabs>
              <w:tab w:val="right" w:leader="dot" w:pos="8296"/>
            </w:tabs>
            <w:rPr>
              <w:rFonts w:ascii="仿宋" w:hAnsi="仿宋" w:eastAsia="仿宋" w:cs="仿宋"/>
              <w:kern w:val="2"/>
              <w14:ligatures w14:val="standardContextual"/>
            </w:rPr>
          </w:pPr>
          <w:r>
            <w:fldChar w:fldCharType="begin"/>
          </w:r>
          <w:r>
            <w:instrText xml:space="preserve"> HYPERLINK \l "_Toc159314267" </w:instrText>
          </w:r>
          <w:r>
            <w:fldChar w:fldCharType="separate"/>
          </w:r>
          <w:r>
            <w:rPr>
              <w:rStyle w:val="18"/>
              <w:rFonts w:hint="eastAsia" w:ascii="仿宋" w:hAnsi="仿宋" w:eastAsia="仿宋" w:cs="仿宋"/>
            </w:rPr>
            <w:t>附录Ⅱ 显性体制引力指标的构建与讨论</w:t>
          </w:r>
          <w:r>
            <w:rPr>
              <w:rFonts w:hint="eastAsia" w:ascii="仿宋" w:hAnsi="仿宋" w:eastAsia="仿宋" w:cs="仿宋"/>
            </w:rPr>
            <w:tab/>
          </w:r>
          <w:r>
            <w:rPr>
              <w:rFonts w:hint="eastAsia" w:ascii="仿宋" w:hAnsi="仿宋" w:eastAsia="仿宋" w:cs="仿宋"/>
            </w:rPr>
            <w:t>2</w:t>
          </w:r>
          <w:r>
            <w:rPr>
              <w:rFonts w:hint="eastAsia" w:ascii="仿宋" w:hAnsi="仿宋" w:eastAsia="仿宋" w:cs="仿宋"/>
            </w:rPr>
            <w:fldChar w:fldCharType="end"/>
          </w:r>
        </w:p>
        <w:p>
          <w:pPr>
            <w:pStyle w:val="9"/>
            <w:tabs>
              <w:tab w:val="right" w:leader="dot" w:pos="8296"/>
            </w:tabs>
            <w:rPr>
              <w:rFonts w:ascii="仿宋" w:hAnsi="仿宋" w:eastAsia="仿宋" w:cs="仿宋"/>
              <w:kern w:val="2"/>
              <w14:ligatures w14:val="standardContextual"/>
            </w:rPr>
          </w:pPr>
          <w:r>
            <w:fldChar w:fldCharType="begin"/>
          </w:r>
          <w:r>
            <w:instrText xml:space="preserve"> HYPERLINK \l "_Toc159314268" </w:instrText>
          </w:r>
          <w:r>
            <w:fldChar w:fldCharType="separate"/>
          </w:r>
          <w:r>
            <w:rPr>
              <w:rStyle w:val="18"/>
              <w:rFonts w:hint="eastAsia" w:ascii="仿宋" w:hAnsi="仿宋" w:eastAsia="仿宋" w:cs="仿宋"/>
            </w:rPr>
            <w:t>附录Ⅲ 稳健性检验</w:t>
          </w:r>
          <w:r>
            <w:rPr>
              <w:rFonts w:hint="eastAsia" w:ascii="仿宋" w:hAnsi="仿宋" w:eastAsia="仿宋" w:cs="仿宋"/>
            </w:rPr>
            <w:tab/>
          </w:r>
          <w:r>
            <w:rPr>
              <w:rFonts w:hint="eastAsia" w:ascii="仿宋" w:hAnsi="仿宋" w:eastAsia="仿宋" w:cs="仿宋"/>
            </w:rPr>
            <w:t>6</w:t>
          </w:r>
          <w:r>
            <w:rPr>
              <w:rFonts w:hint="eastAsia" w:ascii="仿宋" w:hAnsi="仿宋" w:eastAsia="仿宋" w:cs="仿宋"/>
            </w:rPr>
            <w:fldChar w:fldCharType="end"/>
          </w:r>
        </w:p>
        <w:p>
          <w:pPr>
            <w:pStyle w:val="9"/>
            <w:tabs>
              <w:tab w:val="right" w:leader="dot" w:pos="8296"/>
            </w:tabs>
            <w:rPr>
              <w:rFonts w:ascii="仿宋" w:hAnsi="仿宋" w:eastAsia="仿宋" w:cs="仿宋"/>
              <w:kern w:val="2"/>
              <w14:ligatures w14:val="standardContextual"/>
            </w:rPr>
          </w:pPr>
          <w:r>
            <w:fldChar w:fldCharType="begin"/>
          </w:r>
          <w:r>
            <w:instrText xml:space="preserve"> HYPERLINK \l "_Toc159314269" </w:instrText>
          </w:r>
          <w:r>
            <w:fldChar w:fldCharType="separate"/>
          </w:r>
          <w:r>
            <w:rPr>
              <w:rStyle w:val="18"/>
              <w:rFonts w:hint="eastAsia" w:ascii="仿宋" w:hAnsi="仿宋" w:eastAsia="仿宋" w:cs="仿宋"/>
            </w:rPr>
            <w:t>附录Ⅳ 内生性问题的进一步检验</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_Toc159314269 \h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rPr>
            <w:fldChar w:fldCharType="end"/>
          </w:r>
        </w:p>
        <w:p>
          <w:pPr>
            <w:pStyle w:val="9"/>
            <w:tabs>
              <w:tab w:val="right" w:leader="dot" w:pos="8296"/>
            </w:tabs>
            <w:rPr>
              <w:rFonts w:ascii="仿宋" w:hAnsi="仿宋" w:eastAsia="仿宋" w:cs="仿宋"/>
              <w:kern w:val="2"/>
              <w14:ligatures w14:val="standardContextual"/>
            </w:rPr>
          </w:pPr>
          <w:r>
            <w:fldChar w:fldCharType="begin"/>
          </w:r>
          <w:r>
            <w:instrText xml:space="preserve"> HYPERLINK \l "_Toc159314270" </w:instrText>
          </w:r>
          <w:r>
            <w:fldChar w:fldCharType="separate"/>
          </w:r>
          <w:r>
            <w:rPr>
              <w:rStyle w:val="18"/>
              <w:rFonts w:hint="eastAsia" w:ascii="仿宋" w:hAnsi="仿宋" w:eastAsia="仿宋" w:cs="仿宋"/>
            </w:rPr>
            <w:t>附录Ⅴ 体制引力对国有企业和非国有企业的异质性作用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_Toc159314270 \h </w:instrText>
          </w:r>
          <w:r>
            <w:rPr>
              <w:rFonts w:hint="eastAsia" w:ascii="仿宋" w:hAnsi="仿宋" w:eastAsia="仿宋" w:cs="仿宋"/>
            </w:rPr>
            <w:fldChar w:fldCharType="separate"/>
          </w:r>
          <w:r>
            <w:rPr>
              <w:rFonts w:hint="eastAsia" w:ascii="仿宋" w:hAnsi="仿宋" w:eastAsia="仿宋" w:cs="仿宋"/>
            </w:rPr>
            <w:t>14</w:t>
          </w:r>
          <w:r>
            <w:rPr>
              <w:rFonts w:hint="eastAsia" w:ascii="仿宋" w:hAnsi="仿宋" w:eastAsia="仿宋" w:cs="仿宋"/>
            </w:rPr>
            <w:fldChar w:fldCharType="end"/>
          </w:r>
          <w:r>
            <w:rPr>
              <w:rFonts w:hint="eastAsia" w:ascii="仿宋" w:hAnsi="仿宋" w:eastAsia="仿宋" w:cs="仿宋"/>
            </w:rPr>
            <w:fldChar w:fldCharType="end"/>
          </w:r>
        </w:p>
        <w:p>
          <w:pPr>
            <w:pStyle w:val="9"/>
            <w:tabs>
              <w:tab w:val="right" w:leader="dot" w:pos="8296"/>
            </w:tabs>
            <w:rPr>
              <w:rFonts w:ascii="仿宋" w:hAnsi="仿宋" w:eastAsia="仿宋" w:cs="仿宋"/>
              <w:kern w:val="2"/>
              <w14:ligatures w14:val="standardContextual"/>
            </w:rPr>
          </w:pPr>
          <w:r>
            <w:fldChar w:fldCharType="begin"/>
          </w:r>
          <w:r>
            <w:instrText xml:space="preserve"> HYPERLINK \l "_Toc159314271" </w:instrText>
          </w:r>
          <w:r>
            <w:fldChar w:fldCharType="separate"/>
          </w:r>
          <w:r>
            <w:rPr>
              <w:rStyle w:val="18"/>
              <w:rFonts w:hint="eastAsia" w:ascii="仿宋" w:hAnsi="仿宋" w:eastAsia="仿宋" w:cs="仿宋"/>
            </w:rPr>
            <w:t>附录Ⅵ “限薪令”DID规范的识别假设检验</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_Toc159314271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rPr>
            <w:fldChar w:fldCharType="end"/>
          </w:r>
        </w:p>
        <w:p>
          <w:pPr>
            <w:pStyle w:val="9"/>
            <w:tabs>
              <w:tab w:val="right" w:leader="dot" w:pos="8296"/>
            </w:tabs>
            <w:rPr>
              <w:rFonts w:ascii="仿宋" w:hAnsi="仿宋" w:eastAsia="仿宋" w:cs="仿宋"/>
              <w:kern w:val="2"/>
              <w14:ligatures w14:val="standardContextual"/>
            </w:rPr>
          </w:pPr>
          <w:r>
            <w:fldChar w:fldCharType="begin"/>
          </w:r>
          <w:r>
            <w:instrText xml:space="preserve"> HYPERLINK \l "_Toc159314272" </w:instrText>
          </w:r>
          <w:r>
            <w:fldChar w:fldCharType="separate"/>
          </w:r>
          <w:r>
            <w:rPr>
              <w:rStyle w:val="18"/>
              <w:rFonts w:hint="eastAsia" w:ascii="仿宋" w:hAnsi="仿宋" w:eastAsia="仿宋" w:cs="仿宋"/>
            </w:rPr>
            <w:t>附录Ⅶ 体制引力对精英配置的扭曲及其福利损失</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_Toc159314272 \h </w:instrText>
          </w:r>
          <w:r>
            <w:rPr>
              <w:rFonts w:hint="eastAsia" w:ascii="仿宋" w:hAnsi="仿宋" w:eastAsia="仿宋" w:cs="仿宋"/>
            </w:rPr>
            <w:fldChar w:fldCharType="separate"/>
          </w:r>
          <w:r>
            <w:rPr>
              <w:rFonts w:hint="eastAsia" w:ascii="仿宋" w:hAnsi="仿宋" w:eastAsia="仿宋" w:cs="仿宋"/>
            </w:rPr>
            <w:t>17</w:t>
          </w:r>
          <w:r>
            <w:rPr>
              <w:rFonts w:hint="eastAsia" w:ascii="仿宋" w:hAnsi="仿宋" w:eastAsia="仿宋" w:cs="仿宋"/>
            </w:rPr>
            <w:fldChar w:fldCharType="end"/>
          </w:r>
          <w:r>
            <w:rPr>
              <w:rFonts w:hint="eastAsia" w:ascii="仿宋" w:hAnsi="仿宋" w:eastAsia="仿宋" w:cs="仿宋"/>
            </w:rPr>
            <w:fldChar w:fldCharType="end"/>
          </w:r>
        </w:p>
        <w:p>
          <w:r>
            <w:rPr>
              <w:rFonts w:hint="eastAsia" w:ascii="仿宋" w:hAnsi="仿宋" w:eastAsia="仿宋" w:cs="仿宋"/>
              <w:b/>
              <w:bCs/>
              <w:sz w:val="22"/>
              <w:lang w:val="zh-CN"/>
            </w:rPr>
            <w:fldChar w:fldCharType="end"/>
          </w:r>
        </w:p>
      </w:sdtContent>
    </w:sdt>
    <w:p>
      <w:pPr>
        <w:pStyle w:val="2"/>
        <w:spacing w:line="240" w:lineRule="auto"/>
        <w:rPr>
          <w:rFonts w:ascii="楷体" w:hAnsi="楷体" w:eastAsia="楷体"/>
          <w:b w:val="0"/>
          <w:bCs w:val="0"/>
          <w:sz w:val="24"/>
          <w:szCs w:val="24"/>
        </w:rPr>
        <w:sectPr>
          <w:headerReference r:id="rId3" w:type="default"/>
          <w:pgSz w:w="11906" w:h="16838"/>
          <w:pgMar w:top="1440" w:right="1800" w:bottom="1440" w:left="1800" w:header="851" w:footer="992" w:gutter="0"/>
          <w:cols w:space="425" w:num="1"/>
          <w:docGrid w:type="lines" w:linePitch="312" w:charSpace="0"/>
        </w:sectPr>
      </w:pPr>
      <w:bookmarkStart w:id="1" w:name="_Toc159314266"/>
    </w:p>
    <w:p>
      <w:pPr>
        <w:pStyle w:val="2"/>
        <w:spacing w:line="240" w:lineRule="auto"/>
        <w:jc w:val="center"/>
        <w:rPr>
          <w:rFonts w:ascii="楷体" w:hAnsi="楷体" w:eastAsia="楷体" w:cs="宋体"/>
          <w:b w:val="0"/>
          <w:bCs w:val="0"/>
          <w:sz w:val="28"/>
          <w:szCs w:val="28"/>
        </w:rPr>
      </w:pPr>
      <w:r>
        <w:rPr>
          <w:rFonts w:hint="eastAsia" w:ascii="楷体" w:hAnsi="楷体" w:eastAsia="楷体"/>
          <w:b w:val="0"/>
          <w:bCs w:val="0"/>
          <w:sz w:val="28"/>
          <w:szCs w:val="28"/>
        </w:rPr>
        <w:t>附录Ⅰ 理论模型的推导过程</w:t>
      </w:r>
      <w:bookmarkEnd w:id="1"/>
    </w:p>
    <w:p>
      <w:pPr>
        <w:ind w:firstLine="420"/>
        <w:rPr>
          <w:rFonts w:ascii="Times New Roman" w:hAnsi="Times New Roman" w:eastAsia="仿宋" w:cs="Times New Roman"/>
          <w:szCs w:val="21"/>
        </w:rPr>
      </w:pPr>
      <w:r>
        <w:rPr>
          <w:rFonts w:ascii="Times New Roman" w:hAnsi="Times New Roman" w:eastAsia="仿宋" w:cs="Times New Roman"/>
          <w:szCs w:val="21"/>
        </w:rPr>
        <w:t>讨论体制引力</w:t>
      </w:r>
      <w:r>
        <w:rPr>
          <w:rFonts w:ascii="Times New Roman" w:hAnsi="Times New Roman" w:eastAsia="仿宋" w:cs="Times New Roman"/>
          <w:i/>
          <w:iCs/>
          <w:szCs w:val="21"/>
        </w:rPr>
        <w:t>G</w:t>
      </w:r>
      <w:r>
        <w:rPr>
          <w:rFonts w:ascii="Times New Roman" w:hAnsi="Times New Roman" w:eastAsia="仿宋" w:cs="Times New Roman"/>
          <w:szCs w:val="21"/>
        </w:rPr>
        <w:t>对</w:t>
      </w:r>
      <w:r>
        <w:rPr>
          <w:rFonts w:hint="eastAsia" w:ascii="Times New Roman" w:hAnsi="Times New Roman" w:eastAsia="仿宋" w:cs="Times New Roman"/>
          <w:szCs w:val="21"/>
        </w:rPr>
        <w:t>正文</w:t>
      </w:r>
      <w:r>
        <w:rPr>
          <w:rFonts w:ascii="Times New Roman" w:hAnsi="Times New Roman" w:eastAsia="仿宋" w:cs="Times New Roman"/>
          <w:szCs w:val="21"/>
        </w:rPr>
        <w:t>式（4）和（5）的影响，由于</w:t>
      </w:r>
      <w:r>
        <w:rPr>
          <w:rFonts w:ascii="Times New Roman" w:hAnsi="Times New Roman" w:eastAsia="仿宋" w:cs="Times New Roman"/>
          <w:i/>
          <w:iCs/>
          <w:szCs w:val="21"/>
        </w:rPr>
        <w:t>G</w:t>
      </w:r>
      <w:r>
        <w:rPr>
          <w:rFonts w:ascii="Times New Roman" w:hAnsi="Times New Roman" w:eastAsia="仿宋" w:cs="Times New Roman"/>
          <w:szCs w:val="21"/>
        </w:rPr>
        <w:t>同时影响</w:t>
      </w:r>
      <w:r>
        <w:rPr>
          <w:rFonts w:ascii="Times New Roman" w:hAnsi="Times New Roman" w:eastAsia="仿宋" w:cs="Times New Roman"/>
          <w:i/>
          <w:iCs/>
          <w:szCs w:val="21"/>
        </w:rPr>
        <w:t>k</w:t>
      </w:r>
      <w:r>
        <w:rPr>
          <w:rFonts w:ascii="Times New Roman" w:hAnsi="Times New Roman" w:eastAsia="仿宋" w:cs="Times New Roman"/>
          <w:szCs w:val="21"/>
        </w:rPr>
        <w:t>，只能通过函数定义来证明。令</w:t>
      </w:r>
      <w:r>
        <w:rPr>
          <w:rFonts w:ascii="Times New Roman" w:hAnsi="Times New Roman" w:eastAsia="仿宋" w:cs="Times New Roman"/>
          <w:i/>
          <w:iCs/>
          <w:szCs w:val="21"/>
        </w:rPr>
        <w:t>G</w:t>
      </w:r>
      <w:r>
        <w:rPr>
          <w:rFonts w:ascii="Times New Roman" w:hAnsi="Times New Roman" w:eastAsia="仿宋" w:cs="Times New Roman"/>
          <w:szCs w:val="21"/>
          <w:vertAlign w:val="subscript"/>
        </w:rPr>
        <w:t>1</w:t>
      </w:r>
      <w:r>
        <w:rPr>
          <w:rFonts w:ascii="Times New Roman" w:hAnsi="Times New Roman" w:eastAsia="仿宋" w:cs="Times New Roman"/>
          <w:szCs w:val="21"/>
        </w:rPr>
        <w:t>&lt;</w:t>
      </w:r>
      <w:r>
        <w:rPr>
          <w:rFonts w:ascii="Times New Roman" w:hAnsi="Times New Roman" w:eastAsia="仿宋" w:cs="Times New Roman"/>
          <w:i/>
          <w:iCs/>
          <w:szCs w:val="21"/>
        </w:rPr>
        <w:t>G</w:t>
      </w:r>
      <w:r>
        <w:rPr>
          <w:rFonts w:ascii="Times New Roman" w:hAnsi="Times New Roman" w:eastAsia="仿宋" w:cs="Times New Roman"/>
          <w:szCs w:val="21"/>
          <w:vertAlign w:val="subscript"/>
        </w:rPr>
        <w:t>2</w:t>
      </w:r>
      <w:r>
        <w:rPr>
          <w:rFonts w:ascii="Times New Roman" w:hAnsi="Times New Roman" w:eastAsia="仿宋" w:cs="Times New Roman"/>
          <w:szCs w:val="21"/>
        </w:rPr>
        <w:t>，则对应的</w:t>
      </w:r>
      <w:r>
        <w:rPr>
          <w:rFonts w:ascii="Times New Roman" w:hAnsi="Times New Roman" w:eastAsia="仿宋" w:cs="Times New Roman"/>
          <w:i/>
          <w:iCs/>
          <w:szCs w:val="21"/>
        </w:rPr>
        <w:t>H</w:t>
      </w:r>
      <w:r>
        <w:rPr>
          <w:rFonts w:ascii="Times New Roman" w:hAnsi="Times New Roman" w:eastAsia="仿宋" w:cs="Times New Roman"/>
          <w:szCs w:val="21"/>
          <w:vertAlign w:val="subscript"/>
        </w:rPr>
        <w:t>11</w:t>
      </w:r>
      <w:r>
        <w:rPr>
          <w:rFonts w:ascii="Times New Roman" w:hAnsi="Times New Roman" w:eastAsia="仿宋" w:cs="Times New Roman"/>
          <w:szCs w:val="21"/>
        </w:rPr>
        <w:t>和</w:t>
      </w:r>
      <w:r>
        <w:rPr>
          <w:rFonts w:ascii="Times New Roman" w:hAnsi="Times New Roman" w:eastAsia="仿宋" w:cs="Times New Roman"/>
          <w:i/>
          <w:iCs/>
          <w:szCs w:val="21"/>
        </w:rPr>
        <w:t>H</w:t>
      </w:r>
      <w:r>
        <w:rPr>
          <w:rFonts w:ascii="Times New Roman" w:hAnsi="Times New Roman" w:eastAsia="仿宋" w:cs="Times New Roman"/>
          <w:szCs w:val="21"/>
          <w:vertAlign w:val="subscript"/>
        </w:rPr>
        <w:t>12</w:t>
      </w:r>
      <w:r>
        <w:rPr>
          <w:rFonts w:ascii="Times New Roman" w:hAnsi="Times New Roman" w:eastAsia="仿宋" w:cs="Times New Roman"/>
          <w:szCs w:val="21"/>
        </w:rPr>
        <w:t>可以写成如下形式：</w:t>
      </w:r>
    </w:p>
    <w:p>
      <w:pPr>
        <w:ind w:firstLine="420"/>
        <w:jc w:val="right"/>
        <w:rPr>
          <w:rFonts w:ascii="Times New Roman" w:hAnsi="Times New Roman" w:eastAsia="仿宋" w:cs="Times New Roman"/>
          <w:szCs w:val="21"/>
        </w:rPr>
      </w:pPr>
      <w:r>
        <w:rPr>
          <w:rFonts w:ascii="Times New Roman" w:hAnsi="Times New Roman" w:eastAsia="仿宋" w:cs="Times New Roman"/>
          <w:position w:val="-14"/>
          <w:szCs w:val="21"/>
          <w:vertAlign w:val="subscript"/>
        </w:rPr>
        <w:object>
          <v:shape id="_x0000_i1025" o:spt="75" type="#_x0000_t75" style="height:18.55pt;width:306.1pt;" o:ole="t" filled="f" o:preferrelative="t" stroked="f" coordsize="21600,21600">
            <v:path/>
            <v:fill on="f" focussize="0,0"/>
            <v:stroke on="f" joinstyle="miter"/>
            <v:imagedata r:id="rId7" o:title=""/>
            <o:lock v:ext="edit" aspectratio="f"/>
            <w10:wrap type="none"/>
            <w10:anchorlock/>
          </v:shape>
          <o:OLEObject Type="Embed" ProgID="Equation.DSMT4" ShapeID="_x0000_i1025" DrawAspect="Content" ObjectID="_1468075725" r:id="rId6">
            <o:LockedField>false</o:LockedField>
          </o:OLEObject>
        </w:object>
      </w:r>
      <w:r>
        <w:rPr>
          <w:rFonts w:ascii="Times New Roman" w:hAnsi="Times New Roman" w:eastAsia="仿宋" w:cs="Times New Roman"/>
          <w:position w:val="-14"/>
          <w:szCs w:val="21"/>
          <w:vertAlign w:val="subscript"/>
        </w:rPr>
        <w:t xml:space="preserve">   </w:t>
      </w:r>
      <w:r>
        <w:rPr>
          <w:rFonts w:ascii="Times New Roman" w:hAnsi="Times New Roman" w:eastAsia="仿宋" w:cs="Times New Roman"/>
          <w:szCs w:val="21"/>
        </w:rPr>
        <w:t>（</w:t>
      </w:r>
      <w:r>
        <w:rPr>
          <w:rFonts w:hint="eastAsia" w:ascii="Times New Roman" w:hAnsi="Times New Roman" w:eastAsia="仿宋" w:cs="Times New Roman"/>
          <w:szCs w:val="21"/>
        </w:rPr>
        <w:t>I1</w:t>
      </w:r>
      <w:r>
        <w:rPr>
          <w:rFonts w:ascii="Times New Roman" w:hAnsi="Times New Roman" w:eastAsia="仿宋" w:cs="Times New Roman"/>
          <w:szCs w:val="21"/>
        </w:rPr>
        <w:t>）</w:t>
      </w:r>
    </w:p>
    <w:p>
      <w:pPr>
        <w:ind w:firstLine="420"/>
        <w:jc w:val="right"/>
        <w:rPr>
          <w:rFonts w:ascii="Times New Roman" w:hAnsi="Times New Roman" w:eastAsia="仿宋" w:cs="Times New Roman"/>
          <w:szCs w:val="21"/>
        </w:rPr>
      </w:pPr>
      <w:r>
        <w:rPr>
          <w:rFonts w:ascii="Times New Roman" w:hAnsi="Times New Roman" w:eastAsia="仿宋" w:cs="Times New Roman"/>
          <w:position w:val="-14"/>
          <w:szCs w:val="21"/>
          <w:vertAlign w:val="subscript"/>
        </w:rPr>
        <w:object>
          <v:shape id="_x0000_i1026" o:spt="75" type="#_x0000_t75" style="height:18.55pt;width:283.45pt;" o:ole="t" filled="f" o:preferrelative="t" stroked="f" coordsize="21600,21600">
            <v:path/>
            <v:fill on="f" focussize="0,0"/>
            <v:stroke on="f" joinstyle="miter"/>
            <v:imagedata r:id="rId9" o:title=""/>
            <o:lock v:ext="edit" aspectratio="f"/>
            <w10:wrap type="none"/>
            <w10:anchorlock/>
          </v:shape>
          <o:OLEObject Type="Embed" ProgID="Equation.DSMT4" ShapeID="_x0000_i1026" DrawAspect="Content" ObjectID="_1468075726" r:id="rId8">
            <o:LockedField>false</o:LockedField>
          </o:OLEObject>
        </w:object>
      </w:r>
      <w:r>
        <w:rPr>
          <w:rFonts w:ascii="Times New Roman" w:hAnsi="Times New Roman" w:eastAsia="仿宋" w:cs="Times New Roman"/>
          <w:position w:val="-14"/>
          <w:szCs w:val="21"/>
          <w:vertAlign w:val="subscript"/>
        </w:rPr>
        <w:t xml:space="preserve">        </w:t>
      </w:r>
      <w:r>
        <w:rPr>
          <w:rFonts w:ascii="Times New Roman" w:hAnsi="Times New Roman" w:eastAsia="仿宋" w:cs="Times New Roman"/>
          <w:szCs w:val="21"/>
        </w:rPr>
        <w:t>（</w:t>
      </w:r>
      <w:r>
        <w:rPr>
          <w:rFonts w:hint="eastAsia" w:ascii="Times New Roman" w:hAnsi="Times New Roman" w:eastAsia="仿宋" w:cs="Times New Roman"/>
          <w:szCs w:val="21"/>
        </w:rPr>
        <w:t>I2</w:t>
      </w:r>
      <w:r>
        <w:rPr>
          <w:rFonts w:ascii="Times New Roman" w:hAnsi="Times New Roman" w:eastAsia="仿宋" w:cs="Times New Roman"/>
          <w:szCs w:val="21"/>
        </w:rPr>
        <w:t>）</w:t>
      </w:r>
    </w:p>
    <w:p>
      <w:pPr>
        <w:ind w:firstLine="420"/>
        <w:rPr>
          <w:rFonts w:ascii="Times New Roman" w:hAnsi="Times New Roman" w:eastAsia="仿宋" w:cs="Times New Roman"/>
          <w:szCs w:val="21"/>
        </w:rPr>
      </w:pPr>
      <w:r>
        <w:rPr>
          <w:rFonts w:ascii="Times New Roman" w:hAnsi="Times New Roman" w:eastAsia="仿宋" w:cs="Times New Roman"/>
          <w:szCs w:val="21"/>
        </w:rPr>
        <w:t>由于体制部门对劳动力数量的需求为</w:t>
      </w:r>
      <w:r>
        <w:rPr>
          <w:rFonts w:ascii="Times New Roman" w:hAnsi="Times New Roman" w:eastAsia="仿宋" w:cs="Times New Roman"/>
          <w:i/>
          <w:iCs/>
          <w:szCs w:val="21"/>
        </w:rPr>
        <w:t>D</w:t>
      </w:r>
      <w:r>
        <w:rPr>
          <w:rFonts w:ascii="Times New Roman" w:hAnsi="Times New Roman" w:eastAsia="仿宋" w:cs="Times New Roman"/>
          <w:szCs w:val="21"/>
        </w:rPr>
        <w:t>，即满足以下式子：</w:t>
      </w:r>
    </w:p>
    <w:p>
      <w:pPr>
        <w:ind w:firstLine="420"/>
        <w:jc w:val="right"/>
        <w:rPr>
          <w:rFonts w:ascii="Times New Roman" w:hAnsi="Times New Roman" w:eastAsia="仿宋" w:cs="Times New Roman"/>
          <w:szCs w:val="21"/>
        </w:rPr>
      </w:pPr>
      <w:r>
        <w:rPr>
          <w:rFonts w:ascii="Times New Roman" w:hAnsi="Times New Roman" w:eastAsia="仿宋" w:cs="Times New Roman"/>
          <w:position w:val="-28"/>
          <w:szCs w:val="21"/>
        </w:rPr>
        <w:object>
          <v:shape id="_x0000_i1027" o:spt="75" type="#_x0000_t75" style="height:33.95pt;width:82.85pt;" o:ole="t" filled="f" o:preferrelative="t" stroked="f" coordsize="21600,21600">
            <v:path/>
            <v:fill on="f" focussize="0,0"/>
            <v:stroke on="f" joinstyle="miter"/>
            <v:imagedata r:id="rId11" o:title=""/>
            <o:lock v:ext="edit" aspectratio="f"/>
            <w10:wrap type="none"/>
            <w10:anchorlock/>
          </v:shape>
          <o:OLEObject Type="Embed" ProgID="Equation.DSMT4" ShapeID="_x0000_i1027" DrawAspect="Content" ObjectID="_1468075727" r:id="rId10">
            <o:LockedField>false</o:LockedField>
          </o:OLEObject>
        </w:object>
      </w:r>
      <w:r>
        <w:rPr>
          <w:rFonts w:ascii="Times New Roman" w:hAnsi="Times New Roman" w:eastAsia="仿宋" w:cs="Times New Roman"/>
          <w:position w:val="-28"/>
          <w:szCs w:val="21"/>
        </w:rPr>
        <w:t xml:space="preserve">                               </w:t>
      </w:r>
      <w:r>
        <w:rPr>
          <w:rFonts w:ascii="Times New Roman" w:hAnsi="Times New Roman" w:eastAsia="仿宋" w:cs="Times New Roman"/>
          <w:szCs w:val="21"/>
        </w:rPr>
        <w:t>（</w:t>
      </w:r>
      <w:r>
        <w:rPr>
          <w:rFonts w:hint="eastAsia" w:ascii="Times New Roman" w:hAnsi="Times New Roman" w:eastAsia="仿宋" w:cs="Times New Roman"/>
          <w:szCs w:val="21"/>
        </w:rPr>
        <w:t>I3</w:t>
      </w:r>
      <w:r>
        <w:rPr>
          <w:rFonts w:ascii="Times New Roman" w:hAnsi="Times New Roman" w:eastAsia="仿宋" w:cs="Times New Roman"/>
          <w:szCs w:val="21"/>
        </w:rPr>
        <w:t>）</w:t>
      </w:r>
    </w:p>
    <w:p>
      <w:pPr>
        <w:ind w:firstLine="420"/>
        <w:rPr>
          <w:rFonts w:ascii="Times New Roman" w:hAnsi="Times New Roman" w:eastAsia="仿宋" w:cs="Times New Roman"/>
          <w:szCs w:val="21"/>
        </w:rPr>
      </w:pPr>
      <w:r>
        <w:rPr>
          <w:rFonts w:ascii="Times New Roman" w:hAnsi="Times New Roman" w:eastAsia="仿宋" w:cs="Times New Roman"/>
          <w:szCs w:val="21"/>
        </w:rPr>
        <w:t>在体制引力G</w:t>
      </w:r>
      <w:r>
        <w:rPr>
          <w:rFonts w:ascii="Times New Roman" w:hAnsi="Times New Roman" w:eastAsia="仿宋" w:cs="Times New Roman"/>
          <w:szCs w:val="21"/>
          <w:vertAlign w:val="subscript"/>
        </w:rPr>
        <w:t>1</w:t>
      </w:r>
      <w:r>
        <w:rPr>
          <w:rFonts w:ascii="Times New Roman" w:hAnsi="Times New Roman" w:eastAsia="仿宋" w:cs="Times New Roman"/>
          <w:szCs w:val="21"/>
        </w:rPr>
        <w:t>和G</w:t>
      </w:r>
      <w:r>
        <w:rPr>
          <w:rFonts w:ascii="Times New Roman" w:hAnsi="Times New Roman" w:eastAsia="仿宋" w:cs="Times New Roman"/>
          <w:szCs w:val="21"/>
          <w:vertAlign w:val="subscript"/>
        </w:rPr>
        <w:t>2</w:t>
      </w:r>
      <w:r>
        <w:rPr>
          <w:rFonts w:ascii="Times New Roman" w:hAnsi="Times New Roman" w:eastAsia="仿宋" w:cs="Times New Roman"/>
          <w:szCs w:val="21"/>
        </w:rPr>
        <w:t>下式（8）都满足，即符合以下条件：</w:t>
      </w:r>
    </w:p>
    <w:p>
      <w:pPr>
        <w:ind w:firstLine="420"/>
        <w:jc w:val="right"/>
        <w:rPr>
          <w:rFonts w:ascii="Times New Roman" w:hAnsi="Times New Roman" w:eastAsia="仿宋" w:cs="Times New Roman"/>
          <w:szCs w:val="21"/>
        </w:rPr>
      </w:pPr>
      <w:r>
        <w:rPr>
          <w:rFonts w:ascii="Times New Roman" w:hAnsi="Times New Roman" w:eastAsia="仿宋" w:cs="Times New Roman"/>
          <w:position w:val="-14"/>
          <w:szCs w:val="21"/>
        </w:rPr>
        <w:object>
          <v:shape id="_x0000_i1028" o:spt="75" type="#_x0000_t75" style="height:18.55pt;width:406.65pt;" o:ole="t" filled="f" o:preferrelative="t" stroked="f" coordsize="21600,21600">
            <v:path/>
            <v:fill on="f" focussize="0,0"/>
            <v:stroke on="f" joinstyle="miter"/>
            <v:imagedata r:id="rId13" o:title=""/>
            <o:lock v:ext="edit" aspectratio="f"/>
            <w10:wrap type="none"/>
            <w10:anchorlock/>
          </v:shape>
          <o:OLEObject Type="Embed" ProgID="Equation.DSMT4" ShapeID="_x0000_i1028" DrawAspect="Content" ObjectID="_1468075728" r:id="rId12">
            <o:LockedField>false</o:LockedField>
          </o:OLEObject>
        </w:object>
      </w:r>
      <w:r>
        <w:rPr>
          <w:rFonts w:ascii="Times New Roman" w:hAnsi="Times New Roman" w:eastAsia="仿宋" w:cs="Times New Roman"/>
          <w:szCs w:val="21"/>
        </w:rPr>
        <w:t>（</w:t>
      </w:r>
      <w:r>
        <w:rPr>
          <w:rFonts w:hint="eastAsia" w:ascii="Times New Roman" w:hAnsi="Times New Roman" w:eastAsia="仿宋" w:cs="Times New Roman"/>
          <w:szCs w:val="21"/>
        </w:rPr>
        <w:t>I4</w:t>
      </w:r>
      <w:r>
        <w:rPr>
          <w:rFonts w:ascii="Times New Roman" w:hAnsi="Times New Roman" w:eastAsia="仿宋" w:cs="Times New Roman"/>
          <w:szCs w:val="21"/>
        </w:rPr>
        <w:t>）</w:t>
      </w:r>
    </w:p>
    <w:p>
      <w:pPr>
        <w:ind w:firstLine="420"/>
        <w:rPr>
          <w:rFonts w:ascii="Times New Roman" w:hAnsi="Times New Roman" w:eastAsia="仿宋" w:cs="Times New Roman"/>
          <w:szCs w:val="21"/>
        </w:rPr>
      </w:pPr>
      <w:r>
        <w:rPr>
          <w:rFonts w:ascii="Times New Roman" w:hAnsi="Times New Roman" w:eastAsia="仿宋" w:cs="Times New Roman"/>
          <w:szCs w:val="21"/>
        </w:rPr>
        <w:t>由于A</w:t>
      </w:r>
      <w:r>
        <w:rPr>
          <w:rFonts w:ascii="Times New Roman" w:hAnsi="Times New Roman" w:eastAsia="仿宋" w:cs="Times New Roman"/>
          <w:szCs w:val="21"/>
          <w:vertAlign w:val="subscript"/>
        </w:rPr>
        <w:t>1</w:t>
      </w:r>
      <w:r>
        <w:rPr>
          <w:rFonts w:ascii="Times New Roman" w:hAnsi="Times New Roman" w:eastAsia="仿宋" w:cs="Times New Roman"/>
          <w:szCs w:val="21"/>
        </w:rPr>
        <w:t>&lt;…&lt; A</w:t>
      </w:r>
      <w:r>
        <w:rPr>
          <w:rFonts w:ascii="Times New Roman" w:hAnsi="Times New Roman" w:eastAsia="仿宋" w:cs="Times New Roman"/>
          <w:szCs w:val="21"/>
          <w:vertAlign w:val="subscript"/>
        </w:rPr>
        <w:t>k1</w:t>
      </w:r>
      <w:r>
        <w:rPr>
          <w:rFonts w:ascii="Times New Roman" w:hAnsi="Times New Roman" w:eastAsia="仿宋" w:cs="Times New Roman"/>
          <w:szCs w:val="21"/>
        </w:rPr>
        <w:t>&lt;…&lt;A</w:t>
      </w:r>
      <w:r>
        <w:rPr>
          <w:rFonts w:ascii="Times New Roman" w:hAnsi="Times New Roman" w:eastAsia="仿宋" w:cs="Times New Roman"/>
          <w:szCs w:val="21"/>
          <w:vertAlign w:val="subscript"/>
        </w:rPr>
        <w:t>k2</w:t>
      </w:r>
      <w:r>
        <w:rPr>
          <w:rFonts w:ascii="Times New Roman" w:hAnsi="Times New Roman" w:eastAsia="仿宋" w:cs="Times New Roman"/>
          <w:szCs w:val="21"/>
        </w:rPr>
        <w:t>&lt;…&lt;A</w:t>
      </w:r>
      <w:r>
        <w:rPr>
          <w:rFonts w:ascii="Times New Roman" w:hAnsi="Times New Roman" w:eastAsia="仿宋" w:cs="Times New Roman"/>
          <w:szCs w:val="21"/>
          <w:vertAlign w:val="subscript"/>
        </w:rPr>
        <w:t>n</w:t>
      </w:r>
      <w:r>
        <w:rPr>
          <w:rFonts w:ascii="Times New Roman" w:hAnsi="Times New Roman" w:eastAsia="仿宋" w:cs="Times New Roman"/>
          <w:szCs w:val="21"/>
        </w:rPr>
        <w:t>,且P（G</w:t>
      </w:r>
      <w:r>
        <w:rPr>
          <w:rFonts w:ascii="Times New Roman" w:hAnsi="Times New Roman" w:eastAsia="仿宋" w:cs="Times New Roman"/>
          <w:szCs w:val="21"/>
          <w:vertAlign w:val="subscript"/>
        </w:rPr>
        <w:t>1</w:t>
      </w:r>
      <w:r>
        <w:rPr>
          <w:rFonts w:ascii="Times New Roman" w:hAnsi="Times New Roman" w:eastAsia="仿宋" w:cs="Times New Roman"/>
          <w:szCs w:val="21"/>
        </w:rPr>
        <w:t>,</w:t>
      </w:r>
      <w:r>
        <w:rPr>
          <w:rFonts w:ascii="Times New Roman" w:hAnsi="Times New Roman" w:eastAsia="仿宋" w:cs="Times New Roman"/>
          <w:i/>
          <w:iCs/>
          <w:szCs w:val="21"/>
        </w:rPr>
        <w:t>k</w:t>
      </w:r>
      <w:r>
        <w:rPr>
          <w:rFonts w:ascii="Times New Roman" w:hAnsi="Times New Roman" w:eastAsia="仿宋" w:cs="Times New Roman"/>
          <w:i/>
          <w:iCs/>
          <w:szCs w:val="21"/>
          <w:vertAlign w:val="subscript"/>
        </w:rPr>
        <w:t>i</w:t>
      </w:r>
      <w:r>
        <w:rPr>
          <w:rFonts w:ascii="Times New Roman" w:hAnsi="Times New Roman" w:eastAsia="仿宋" w:cs="Times New Roman"/>
          <w:szCs w:val="21"/>
        </w:rPr>
        <w:t>）&lt;P（G</w:t>
      </w:r>
      <w:r>
        <w:rPr>
          <w:rFonts w:ascii="Times New Roman" w:hAnsi="Times New Roman" w:eastAsia="仿宋" w:cs="Times New Roman"/>
          <w:szCs w:val="21"/>
          <w:vertAlign w:val="subscript"/>
        </w:rPr>
        <w:t>2</w:t>
      </w:r>
      <w:r>
        <w:rPr>
          <w:rFonts w:ascii="Times New Roman" w:hAnsi="Times New Roman" w:eastAsia="仿宋" w:cs="Times New Roman"/>
          <w:szCs w:val="21"/>
        </w:rPr>
        <w:t>,</w:t>
      </w:r>
      <w:r>
        <w:rPr>
          <w:rFonts w:ascii="Times New Roman" w:hAnsi="Times New Roman" w:eastAsia="仿宋" w:cs="Times New Roman"/>
          <w:i/>
          <w:iCs/>
          <w:szCs w:val="21"/>
        </w:rPr>
        <w:t>k</w:t>
      </w:r>
      <w:r>
        <w:rPr>
          <w:rFonts w:ascii="Times New Roman" w:hAnsi="Times New Roman" w:eastAsia="仿宋" w:cs="Times New Roman"/>
          <w:i/>
          <w:iCs/>
          <w:szCs w:val="21"/>
          <w:vertAlign w:val="subscript"/>
        </w:rPr>
        <w:t>i</w:t>
      </w:r>
      <w:r>
        <w:rPr>
          <w:rFonts w:ascii="Times New Roman" w:hAnsi="Times New Roman" w:eastAsia="仿宋" w:cs="Times New Roman"/>
          <w:szCs w:val="21"/>
        </w:rPr>
        <w:t>），可以比较H</w:t>
      </w:r>
      <w:r>
        <w:rPr>
          <w:rFonts w:ascii="Times New Roman" w:hAnsi="Times New Roman" w:eastAsia="仿宋" w:cs="Times New Roman"/>
          <w:szCs w:val="21"/>
          <w:vertAlign w:val="subscript"/>
        </w:rPr>
        <w:t>11</w:t>
      </w:r>
      <w:r>
        <w:rPr>
          <w:rFonts w:ascii="Times New Roman" w:hAnsi="Times New Roman" w:eastAsia="仿宋" w:cs="Times New Roman"/>
          <w:szCs w:val="21"/>
        </w:rPr>
        <w:t>和H</w:t>
      </w:r>
      <w:r>
        <w:rPr>
          <w:rFonts w:ascii="Times New Roman" w:hAnsi="Times New Roman" w:eastAsia="仿宋" w:cs="Times New Roman"/>
          <w:szCs w:val="21"/>
          <w:vertAlign w:val="subscript"/>
        </w:rPr>
        <w:t>12</w:t>
      </w:r>
      <w:r>
        <w:rPr>
          <w:rFonts w:ascii="Times New Roman" w:hAnsi="Times New Roman" w:eastAsia="仿宋" w:cs="Times New Roman"/>
          <w:szCs w:val="21"/>
        </w:rPr>
        <w:t>的大小：</w:t>
      </w:r>
    </w:p>
    <w:p>
      <w:pPr>
        <w:ind w:firstLine="420"/>
        <w:jc w:val="center"/>
        <w:rPr>
          <w:rFonts w:ascii="Times New Roman" w:hAnsi="Times New Roman" w:eastAsia="仿宋" w:cs="Times New Roman"/>
          <w:szCs w:val="21"/>
        </w:rPr>
      </w:pPr>
      <w:r>
        <w:rPr>
          <w:rFonts w:ascii="Times New Roman" w:hAnsi="Times New Roman" w:eastAsia="仿宋" w:cs="Times New Roman"/>
          <w:position w:val="-154"/>
          <w:szCs w:val="21"/>
        </w:rPr>
        <w:object>
          <v:shape id="_x0000_i1029" o:spt="75" type="#_x0000_t75" style="height:160.75pt;width:313.8pt;" o:ole="t" filled="f" o:preferrelative="t" stroked="f" coordsize="21600,21600">
            <v:path/>
            <v:fill on="f" focussize="0,0"/>
            <v:stroke on="f" joinstyle="miter"/>
            <v:imagedata r:id="rId15" o:title=""/>
            <o:lock v:ext="edit" aspectratio="f"/>
            <w10:wrap type="none"/>
            <w10:anchorlock/>
          </v:shape>
          <o:OLEObject Type="Embed" ProgID="Equation.DSMT4" ShapeID="_x0000_i1029" DrawAspect="Content" ObjectID="_1468075729" r:id="rId14">
            <o:LockedField>false</o:LockedField>
          </o:OLEObject>
        </w:object>
      </w:r>
    </w:p>
    <w:p>
      <w:pPr>
        <w:ind w:firstLine="420"/>
        <w:rPr>
          <w:rFonts w:ascii="Times New Roman" w:hAnsi="Times New Roman" w:eastAsia="仿宋" w:cs="Times New Roman"/>
          <w:szCs w:val="21"/>
        </w:rPr>
      </w:pPr>
      <w:r>
        <w:rPr>
          <w:rFonts w:ascii="Times New Roman" w:hAnsi="Times New Roman" w:eastAsia="仿宋" w:cs="Times New Roman"/>
          <w:szCs w:val="21"/>
        </w:rPr>
        <w:t>因此</w:t>
      </w:r>
      <w:bookmarkStart w:id="2" w:name="OLE_LINK5"/>
      <w:r>
        <w:rPr>
          <w:rFonts w:ascii="Times New Roman" w:hAnsi="Times New Roman" w:eastAsia="仿宋" w:cs="Times New Roman"/>
          <w:szCs w:val="21"/>
        </w:rPr>
        <w:t>H</w:t>
      </w:r>
      <w:r>
        <w:rPr>
          <w:rFonts w:ascii="Times New Roman" w:hAnsi="Times New Roman" w:eastAsia="仿宋" w:cs="Times New Roman"/>
          <w:szCs w:val="21"/>
          <w:vertAlign w:val="subscript"/>
        </w:rPr>
        <w:t>11</w:t>
      </w:r>
      <w:r>
        <w:rPr>
          <w:rFonts w:ascii="Times New Roman" w:hAnsi="Times New Roman" w:eastAsia="仿宋" w:cs="Times New Roman"/>
          <w:szCs w:val="21"/>
        </w:rPr>
        <w:t>&lt;H</w:t>
      </w:r>
      <w:r>
        <w:rPr>
          <w:rFonts w:ascii="Times New Roman" w:hAnsi="Times New Roman" w:eastAsia="仿宋" w:cs="Times New Roman"/>
          <w:szCs w:val="21"/>
          <w:vertAlign w:val="subscript"/>
        </w:rPr>
        <w:t>12</w:t>
      </w:r>
      <w:bookmarkEnd w:id="2"/>
      <w:r>
        <w:rPr>
          <w:rFonts w:ascii="Times New Roman" w:hAnsi="Times New Roman" w:eastAsia="仿宋" w:cs="Times New Roman"/>
          <w:szCs w:val="21"/>
        </w:rPr>
        <w:t>,也即</w:t>
      </w:r>
      <w:r>
        <w:rPr>
          <w:rFonts w:ascii="Times New Roman" w:hAnsi="Times New Roman" w:eastAsia="仿宋" w:cs="Times New Roman"/>
          <w:position w:val="-24"/>
          <w:szCs w:val="21"/>
        </w:rPr>
        <w:object>
          <v:shape id="_x0000_i1030" o:spt="75" type="#_x0000_t75" style="height:31.7pt;width:42.1pt;" o:ole="t" filled="f" o:preferrelative="t" stroked="f" coordsize="21600,21600">
            <v:path/>
            <v:fill on="f" focussize="0,0"/>
            <v:stroke on="f" joinstyle="miter"/>
            <v:imagedata r:id="rId17" o:title=""/>
            <o:lock v:ext="edit" aspectratio="f"/>
            <w10:wrap type="none"/>
            <w10:anchorlock/>
          </v:shape>
          <o:OLEObject Type="Embed" ProgID="Equation.DSMT4" ShapeID="_x0000_i1030" DrawAspect="Content" ObjectID="_1468075730" r:id="rId16">
            <o:LockedField>false</o:LockedField>
          </o:OLEObject>
        </w:object>
      </w:r>
      <w:r>
        <w:rPr>
          <w:rFonts w:ascii="Times New Roman" w:hAnsi="Times New Roman" w:eastAsia="仿宋" w:cs="Times New Roman"/>
          <w:szCs w:val="21"/>
        </w:rPr>
        <w:t>得证。同理，由于非体制部门的劳动力需求为（1-D），可证</w:t>
      </w:r>
      <w:r>
        <w:rPr>
          <w:rFonts w:ascii="Times New Roman" w:hAnsi="Times New Roman" w:eastAsia="仿宋" w:cs="Times New Roman"/>
          <w:position w:val="-24"/>
          <w:szCs w:val="21"/>
        </w:rPr>
        <w:object>
          <v:shape id="_x0000_i1031" o:spt="75" type="#_x0000_t75" style="height:31.7pt;width:42.55pt;" o:ole="t" filled="f" o:preferrelative="t" stroked="f" coordsize="21600,21600">
            <v:path/>
            <v:fill on="f" focussize="0,0"/>
            <v:stroke on="f" joinstyle="miter"/>
            <v:imagedata r:id="rId19" o:title=""/>
            <o:lock v:ext="edit" aspectratio="f"/>
            <w10:wrap type="none"/>
            <w10:anchorlock/>
          </v:shape>
          <o:OLEObject Type="Embed" ProgID="Equation.DSMT4" ShapeID="_x0000_i1031" DrawAspect="Content" ObjectID="_1468075731" r:id="rId18">
            <o:LockedField>false</o:LockedField>
          </o:OLEObject>
        </w:object>
      </w:r>
      <w:r>
        <w:rPr>
          <w:rFonts w:ascii="Times New Roman" w:hAnsi="Times New Roman" w:eastAsia="仿宋" w:cs="Times New Roman"/>
          <w:szCs w:val="21"/>
        </w:rPr>
        <w:t>。并且，假设在一期整个经济体的人力资本存量是恒定的，所以满足</w:t>
      </w:r>
      <w:r>
        <w:rPr>
          <w:rFonts w:ascii="Times New Roman" w:hAnsi="Times New Roman" w:eastAsia="仿宋" w:cs="Times New Roman"/>
          <w:position w:val="-28"/>
          <w:szCs w:val="21"/>
        </w:rPr>
        <w:object>
          <v:shape id="_x0000_i1032" o:spt="75" type="#_x0000_t75" style="height:33.95pt;width:66.55pt;" o:ole="t" filled="f" o:preferrelative="t" stroked="f" coordsize="21600,21600">
            <v:path/>
            <v:fill on="f" focussize="0,0"/>
            <v:stroke on="f" joinstyle="miter"/>
            <v:imagedata r:id="rId21" o:title=""/>
            <o:lock v:ext="edit" aspectratio="f"/>
            <w10:wrap type="none"/>
            <w10:anchorlock/>
          </v:shape>
          <o:OLEObject Type="Embed" ProgID="Equation.DSMT4" ShapeID="_x0000_i1032" DrawAspect="Content" ObjectID="_1468075732" r:id="rId20">
            <o:LockedField>false</o:LockedField>
          </o:OLEObject>
        </w:object>
      </w:r>
      <w:r>
        <w:rPr>
          <w:rFonts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br w:type="page"/>
      </w:r>
    </w:p>
    <w:p>
      <w:pPr>
        <w:pStyle w:val="2"/>
        <w:spacing w:line="240" w:lineRule="auto"/>
        <w:jc w:val="center"/>
        <w:rPr>
          <w:rFonts w:ascii="楷体" w:hAnsi="楷体" w:eastAsia="楷体" w:cs="Times New Roman"/>
          <w:b w:val="0"/>
          <w:bCs w:val="0"/>
          <w:sz w:val="28"/>
          <w:szCs w:val="28"/>
        </w:rPr>
      </w:pPr>
      <w:bookmarkStart w:id="3" w:name="_Toc159314267"/>
      <w:r>
        <w:rPr>
          <w:rFonts w:hint="eastAsia" w:ascii="楷体" w:hAnsi="楷体" w:eastAsia="楷体"/>
          <w:b w:val="0"/>
          <w:bCs w:val="0"/>
          <w:sz w:val="28"/>
          <w:szCs w:val="28"/>
        </w:rPr>
        <w:t>附录Ⅱ 显性体制引力指标的构建与讨论</w:t>
      </w:r>
      <w:bookmarkEnd w:id="3"/>
    </w:p>
    <w:p>
      <w:pPr>
        <w:ind w:firstLine="420"/>
        <w:rPr>
          <w:rFonts w:ascii="Times New Roman" w:hAnsi="Times New Roman" w:eastAsia="仿宋" w:cs="Times New Roman"/>
          <w:szCs w:val="21"/>
        </w:rPr>
      </w:pPr>
      <w:r>
        <w:rPr>
          <w:rFonts w:hint="eastAsia" w:ascii="Times New Roman" w:hAnsi="Times New Roman" w:eastAsia="仿宋" w:cs="Times New Roman"/>
          <w:szCs w:val="21"/>
        </w:rPr>
        <w:t>本文基于主成分分析法来构建显性体制引力指标，需要进行一系列的检验。我们首先将数据标准化，然后进行了KMO和Barktlett检验，用于判断所选取的指标是否适合进行主成分分析，KMO检验的经验标准是0.6，若大于0.6则表明适合进行主成分分析，Barktlett球形检验与之类似，若其p值小于0.05则拒绝原假设，证明适合进行主成分分析。表</w:t>
      </w:r>
      <w:r>
        <w:rPr>
          <w:rFonts w:hint="eastAsia" w:ascii="仿宋" w:hAnsi="仿宋" w:eastAsia="仿宋" w:cs="仿宋"/>
          <w:szCs w:val="21"/>
        </w:rPr>
        <w:t>Ⅱ</w:t>
      </w:r>
      <w:r>
        <w:rPr>
          <w:rFonts w:hint="eastAsia" w:ascii="Times New Roman" w:hAnsi="Times New Roman" w:eastAsia="仿宋" w:cs="Times New Roman"/>
          <w:szCs w:val="21"/>
        </w:rPr>
        <w:t>1的结果显示，KMO结果为0.801，Barktlett球形检验的p值为0.000，都表明本文所选取的指标适合进行主成分分析。</w:t>
      </w:r>
    </w:p>
    <w:p>
      <w:pPr>
        <w:ind w:firstLine="420"/>
        <w:rPr>
          <w:rFonts w:ascii="Times New Roman" w:hAnsi="Times New Roman" w:eastAsia="仿宋" w:cs="Times New Roman"/>
          <w:szCs w:val="21"/>
        </w:rPr>
      </w:pPr>
    </w:p>
    <w:p>
      <w:pPr>
        <w:jc w:val="center"/>
        <w:rPr>
          <w:rFonts w:ascii="黑体" w:hAnsi="黑体" w:eastAsia="黑体" w:cs="黑体"/>
          <w:sz w:val="18"/>
          <w:szCs w:val="18"/>
        </w:rPr>
      </w:pPr>
      <w:bookmarkStart w:id="4" w:name="OLE_LINK12"/>
      <w:r>
        <w:rPr>
          <w:rFonts w:hint="eastAsia" w:ascii="黑体" w:hAnsi="黑体" w:eastAsia="黑体" w:cs="黑体"/>
          <w:sz w:val="18"/>
          <w:szCs w:val="18"/>
        </w:rPr>
        <w:t>表Ⅱ1 KMO 和</w:t>
      </w:r>
      <w:bookmarkStart w:id="5" w:name="OLE_LINK10"/>
      <w:r>
        <w:rPr>
          <w:rFonts w:hint="eastAsia" w:ascii="黑体" w:hAnsi="黑体" w:eastAsia="黑体" w:cs="黑体"/>
          <w:sz w:val="18"/>
          <w:szCs w:val="18"/>
        </w:rPr>
        <w:t>Barktlett</w:t>
      </w:r>
      <w:bookmarkEnd w:id="5"/>
      <w:r>
        <w:rPr>
          <w:rFonts w:hint="eastAsia" w:ascii="黑体" w:hAnsi="黑体" w:eastAsia="黑体" w:cs="黑体"/>
          <w:sz w:val="18"/>
          <w:szCs w:val="18"/>
        </w:rPr>
        <w:t xml:space="preserve"> 检验</w:t>
      </w:r>
    </w:p>
    <w:bookmarkEnd w:id="4"/>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left w:val="nil"/>
              <w:bottom w:val="single" w:color="auto" w:sz="4" w:space="0"/>
              <w:right w:val="nil"/>
            </w:tcBorders>
          </w:tcPr>
          <w:p>
            <w:pPr>
              <w:jc w:val="center"/>
              <w:rPr>
                <w:rFonts w:ascii="Times New Roman" w:hAnsi="Times New Roman" w:eastAsia="仿宋" w:cs="Times New Roman"/>
                <w:kern w:val="0"/>
                <w:sz w:val="20"/>
                <w:szCs w:val="21"/>
              </w:rPr>
            </w:pPr>
            <w:bookmarkStart w:id="6" w:name="OLE_LINK13" w:colFirst="0" w:colLast="2"/>
            <w:r>
              <w:rPr>
                <w:rFonts w:hint="eastAsia" w:ascii="Times New Roman" w:hAnsi="Times New Roman" w:eastAsia="仿宋" w:cs="Times New Roman"/>
                <w:kern w:val="0"/>
                <w:sz w:val="20"/>
                <w:szCs w:val="21"/>
              </w:rPr>
              <w:t>检验方法</w:t>
            </w:r>
          </w:p>
        </w:tc>
        <w:tc>
          <w:tcPr>
            <w:tcW w:w="2841" w:type="dxa"/>
            <w:tcBorders>
              <w:left w:val="nil"/>
              <w:bottom w:val="single" w:color="auto" w:sz="4" w:space="0"/>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指标</w:t>
            </w:r>
          </w:p>
        </w:tc>
        <w:tc>
          <w:tcPr>
            <w:tcW w:w="2841" w:type="dxa"/>
            <w:tcBorders>
              <w:left w:val="nil"/>
              <w:bottom w:val="single" w:color="auto" w:sz="4" w:space="0"/>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检验结果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840" w:type="dxa"/>
            <w:tcBorders>
              <w:top w:val="single" w:color="auto" w:sz="4" w:space="0"/>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KMO检验</w:t>
            </w:r>
          </w:p>
        </w:tc>
        <w:tc>
          <w:tcPr>
            <w:tcW w:w="2841" w:type="dxa"/>
            <w:tcBorders>
              <w:top w:val="single" w:color="auto" w:sz="4" w:space="0"/>
              <w:left w:val="nil"/>
              <w:bottom w:val="nil"/>
              <w:right w:val="nil"/>
            </w:tcBorders>
          </w:tcPr>
          <w:p>
            <w:pPr>
              <w:jc w:val="center"/>
              <w:rPr>
                <w:rFonts w:ascii="Times New Roman" w:hAnsi="Times New Roman" w:eastAsia="宋体" w:cs="Times New Roman"/>
                <w:kern w:val="0"/>
                <w:sz w:val="15"/>
                <w:szCs w:val="15"/>
              </w:rPr>
            </w:pPr>
            <w:r>
              <w:rPr>
                <w:rFonts w:hint="eastAsia" w:ascii="Times New Roman" w:hAnsi="Times New Roman" w:eastAsia="仿宋" w:cs="Times New Roman"/>
                <w:kern w:val="0"/>
                <w:sz w:val="20"/>
                <w:szCs w:val="21"/>
              </w:rPr>
              <w:t>KMO值</w:t>
            </w:r>
          </w:p>
        </w:tc>
        <w:tc>
          <w:tcPr>
            <w:tcW w:w="2841" w:type="dxa"/>
            <w:tcBorders>
              <w:top w:val="single" w:color="auto" w:sz="4" w:space="0"/>
              <w:left w:val="nil"/>
              <w:bottom w:val="nil"/>
              <w:right w:val="nil"/>
            </w:tcBorders>
          </w:tcPr>
          <w:p>
            <w:pPr>
              <w:jc w:val="center"/>
              <w:rPr>
                <w:rFonts w:ascii="Times New Roman" w:hAnsi="Times New Roman" w:eastAsia="宋体" w:cs="Times New Roman"/>
                <w:kern w:val="0"/>
                <w:sz w:val="15"/>
                <w:szCs w:val="15"/>
              </w:rPr>
            </w:pPr>
            <w:r>
              <w:rPr>
                <w:rFonts w:hint="eastAsia" w:ascii="Times New Roman" w:hAnsi="Times New Roman" w:eastAsia="仿宋" w:cs="Times New Roman"/>
                <w:kern w:val="0"/>
                <w:sz w:val="20"/>
                <w:szCs w:val="21"/>
              </w:rPr>
              <w:t>0.801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Barktlett球形检验</w:t>
            </w:r>
          </w:p>
        </w:tc>
        <w:tc>
          <w:tcPr>
            <w:tcW w:w="2841" w:type="dxa"/>
            <w:tcBorders>
              <w:top w:val="nil"/>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卡方值</w:t>
            </w:r>
          </w:p>
        </w:tc>
        <w:tc>
          <w:tcPr>
            <w:tcW w:w="2841" w:type="dxa"/>
            <w:tcBorders>
              <w:top w:val="nil"/>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5047.493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nil"/>
              <w:right w:val="nil"/>
            </w:tcBorders>
          </w:tcPr>
          <w:p>
            <w:pPr>
              <w:jc w:val="center"/>
              <w:rPr>
                <w:rFonts w:ascii="Times New Roman" w:hAnsi="Times New Roman" w:eastAsia="仿宋" w:cs="Times New Roman"/>
                <w:kern w:val="0"/>
                <w:sz w:val="20"/>
                <w:szCs w:val="21"/>
              </w:rPr>
            </w:pPr>
          </w:p>
        </w:tc>
        <w:tc>
          <w:tcPr>
            <w:tcW w:w="2841" w:type="dxa"/>
            <w:tcBorders>
              <w:top w:val="nil"/>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自由度</w:t>
            </w:r>
          </w:p>
        </w:tc>
        <w:tc>
          <w:tcPr>
            <w:tcW w:w="2841" w:type="dxa"/>
            <w:tcBorders>
              <w:top w:val="nil"/>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right w:val="nil"/>
            </w:tcBorders>
          </w:tcPr>
          <w:p>
            <w:pPr>
              <w:jc w:val="center"/>
              <w:rPr>
                <w:rFonts w:ascii="Times New Roman" w:hAnsi="Times New Roman" w:eastAsia="仿宋" w:cs="Times New Roman"/>
                <w:kern w:val="0"/>
                <w:sz w:val="20"/>
                <w:szCs w:val="21"/>
              </w:rPr>
            </w:pPr>
          </w:p>
        </w:tc>
        <w:tc>
          <w:tcPr>
            <w:tcW w:w="2841" w:type="dxa"/>
            <w:tcBorders>
              <w:top w:val="nil"/>
              <w:left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szCs w:val="21"/>
              </w:rPr>
              <w:t>p</w:t>
            </w:r>
            <w:r>
              <w:rPr>
                <w:rFonts w:hint="eastAsia" w:ascii="Times New Roman" w:hAnsi="Times New Roman" w:eastAsia="仿宋" w:cs="Times New Roman"/>
                <w:kern w:val="0"/>
                <w:sz w:val="20"/>
                <w:szCs w:val="21"/>
              </w:rPr>
              <w:t>值</w:t>
            </w:r>
          </w:p>
        </w:tc>
        <w:tc>
          <w:tcPr>
            <w:tcW w:w="2841" w:type="dxa"/>
            <w:tcBorders>
              <w:top w:val="nil"/>
              <w:left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0.000</w:t>
            </w:r>
          </w:p>
        </w:tc>
      </w:tr>
      <w:bookmarkEnd w:id="6"/>
    </w:tbl>
    <w:p>
      <w:pPr>
        <w:rPr>
          <w:rFonts w:ascii="Times New Roman" w:hAnsi="Times New Roman" w:eastAsia="宋体" w:cs="Times New Roman"/>
          <w:sz w:val="15"/>
          <w:szCs w:val="15"/>
        </w:rPr>
      </w:pPr>
    </w:p>
    <w:p>
      <w:pPr>
        <w:ind w:firstLine="420"/>
        <w:rPr>
          <w:rFonts w:ascii="Times New Roman" w:hAnsi="Times New Roman" w:eastAsia="仿宋" w:cs="Times New Roman"/>
          <w:szCs w:val="21"/>
        </w:rPr>
      </w:pPr>
      <w:r>
        <w:rPr>
          <w:rFonts w:hint="eastAsia" w:ascii="Times New Roman" w:hAnsi="Times New Roman" w:eastAsia="仿宋" w:cs="Times New Roman"/>
          <w:szCs w:val="21"/>
        </w:rPr>
        <w:t>进一步，为了判断所需提取的主成分数量，本文报告了碎石图如图</w:t>
      </w:r>
      <w:r>
        <w:rPr>
          <w:rFonts w:hint="eastAsia" w:ascii="仿宋" w:hAnsi="仿宋" w:eastAsia="仿宋" w:cs="仿宋"/>
          <w:szCs w:val="21"/>
        </w:rPr>
        <w:t>Ⅱ</w:t>
      </w:r>
      <w:r>
        <w:rPr>
          <w:rFonts w:hint="eastAsia" w:ascii="Times New Roman" w:hAnsi="Times New Roman" w:eastAsia="仿宋" w:cs="Times New Roman"/>
          <w:szCs w:val="21"/>
        </w:rPr>
        <w:t>1所示，可见，当主成分数量大于3时，特征值就已经小于1，这说明在本文所选取的指标中，生成3个主成分比较合适。</w:t>
      </w:r>
    </w:p>
    <w:p>
      <w:pPr>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drawing>
          <wp:inline distT="0" distB="0" distL="114300" distR="114300">
            <wp:extent cx="3521075" cy="2560955"/>
            <wp:effectExtent l="0" t="0" r="9525" b="4445"/>
            <wp:docPr id="5" name="图片 5" descr="碎石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碎石图"/>
                    <pic:cNvPicPr>
                      <a:picLocks noChangeAspect="1"/>
                    </pic:cNvPicPr>
                  </pic:nvPicPr>
                  <pic:blipFill>
                    <a:blip r:embed="rId22"/>
                    <a:stretch>
                      <a:fillRect/>
                    </a:stretch>
                  </pic:blipFill>
                  <pic:spPr>
                    <a:xfrm>
                      <a:off x="0" y="0"/>
                      <a:ext cx="3521075" cy="2560955"/>
                    </a:xfrm>
                    <a:prstGeom prst="rect">
                      <a:avLst/>
                    </a:prstGeom>
                  </pic:spPr>
                </pic:pic>
              </a:graphicData>
            </a:graphic>
          </wp:inline>
        </w:drawing>
      </w:r>
    </w:p>
    <w:p>
      <w:pPr>
        <w:jc w:val="center"/>
        <w:rPr>
          <w:rFonts w:ascii="黑体" w:hAnsi="黑体" w:eastAsia="黑体" w:cs="黑体"/>
          <w:sz w:val="18"/>
          <w:szCs w:val="18"/>
        </w:rPr>
      </w:pPr>
      <w:r>
        <w:rPr>
          <w:rFonts w:hint="eastAsia" w:ascii="黑体" w:hAnsi="黑体" w:eastAsia="黑体" w:cs="黑体"/>
          <w:sz w:val="18"/>
          <w:szCs w:val="18"/>
        </w:rPr>
        <w:t>图Ⅱ1  指标方差贡献率的碎石图</w:t>
      </w:r>
    </w:p>
    <w:p>
      <w:pPr>
        <w:jc w:val="center"/>
        <w:rPr>
          <w:rFonts w:ascii="Times New Roman" w:hAnsi="Times New Roman" w:eastAsia="仿宋" w:cs="Times New Roman"/>
          <w:b/>
          <w:bCs/>
          <w:sz w:val="18"/>
          <w:szCs w:val="18"/>
        </w:rPr>
      </w:pPr>
    </w:p>
    <w:p>
      <w:pPr>
        <w:rPr>
          <w:rFonts w:ascii="Times New Roman" w:hAnsi="Times New Roman" w:eastAsia="仿宋" w:cs="Times New Roman"/>
          <w:b/>
          <w:bCs/>
          <w:sz w:val="18"/>
          <w:szCs w:val="18"/>
        </w:rPr>
      </w:pPr>
    </w:p>
    <w:p>
      <w:pPr>
        <w:ind w:firstLine="420"/>
        <w:rPr>
          <w:rFonts w:ascii="Times New Roman" w:hAnsi="Times New Roman" w:eastAsia="仿宋" w:cs="Times New Roman"/>
          <w:szCs w:val="21"/>
        </w:rPr>
      </w:pPr>
      <w:r>
        <w:rPr>
          <w:rFonts w:hint="eastAsia" w:ascii="Times New Roman" w:hAnsi="Times New Roman" w:eastAsia="仿宋" w:cs="Times New Roman"/>
          <w:szCs w:val="21"/>
        </w:rPr>
        <w:t>在此基础上，我们可以通过旋转载荷矩阵来求算主成分的方差贡献率及特征值向量，结果报告如表</w:t>
      </w:r>
      <w:r>
        <w:rPr>
          <w:rFonts w:hint="eastAsia" w:ascii="仿宋" w:hAnsi="仿宋" w:eastAsia="仿宋" w:cs="仿宋"/>
          <w:szCs w:val="21"/>
        </w:rPr>
        <w:t>Ⅱ</w:t>
      </w:r>
      <w:r>
        <w:rPr>
          <w:rFonts w:hint="eastAsia" w:ascii="Times New Roman" w:hAnsi="Times New Roman" w:eastAsia="仿宋" w:cs="Times New Roman"/>
          <w:szCs w:val="21"/>
        </w:rPr>
        <w:t>2和表</w:t>
      </w:r>
      <w:r>
        <w:rPr>
          <w:rFonts w:hint="eastAsia" w:ascii="仿宋" w:hAnsi="仿宋" w:eastAsia="仿宋" w:cs="仿宋"/>
          <w:szCs w:val="21"/>
        </w:rPr>
        <w:t>Ⅱ</w:t>
      </w:r>
      <w:r>
        <w:rPr>
          <w:rFonts w:hint="eastAsia" w:ascii="Times New Roman" w:hAnsi="Times New Roman" w:eastAsia="仿宋" w:cs="Times New Roman"/>
          <w:szCs w:val="21"/>
        </w:rPr>
        <w:t>3所示。根据表</w:t>
      </w:r>
      <w:r>
        <w:rPr>
          <w:rFonts w:hint="eastAsia" w:ascii="仿宋" w:hAnsi="仿宋" w:eastAsia="仿宋" w:cs="仿宋"/>
          <w:szCs w:val="21"/>
        </w:rPr>
        <w:t>Ⅱ</w:t>
      </w:r>
      <w:r>
        <w:rPr>
          <w:rFonts w:hint="eastAsia" w:ascii="Times New Roman" w:hAnsi="Times New Roman" w:eastAsia="仿宋" w:cs="Times New Roman"/>
          <w:szCs w:val="21"/>
        </w:rPr>
        <w:t>2，可以发现前面所选取的三个主成分的方差累计贡献率达到了82.2%，说明这些主成分已经能够比较全面地反映所选取指标所囊括的信息。根据表</w:t>
      </w:r>
      <w:r>
        <w:rPr>
          <w:rFonts w:hint="eastAsia" w:ascii="仿宋" w:hAnsi="仿宋" w:eastAsia="仿宋" w:cs="仿宋"/>
          <w:szCs w:val="21"/>
        </w:rPr>
        <w:t>Ⅱ</w:t>
      </w:r>
      <w:r>
        <w:rPr>
          <w:rFonts w:hint="eastAsia" w:ascii="Times New Roman" w:hAnsi="Times New Roman" w:eastAsia="仿宋" w:cs="Times New Roman"/>
          <w:szCs w:val="21"/>
        </w:rPr>
        <w:t>3，可以得到解释三个主成分的具体指标，主成分F1的主要解释指标来自政府规模、宏观调节力度、财政能力、医疗单位发展水平、文化单位发展水平和教育单位发展水平等，可以将其概括为公共部门政治因素。主成分F2的主要解释指标来自国有企业规模和国有企业影响力，可以将其概括为体制部门经济因素。主成分F3的主要解释指标来自地方保护水平，可以将其概括为体制文化因素。这些主成分的具体构成与理论直觉相符，表现为显性体制引力的政治、经济和文化因素。</w:t>
      </w:r>
    </w:p>
    <w:p>
      <w:pPr>
        <w:rPr>
          <w:rFonts w:ascii="Times New Roman" w:hAnsi="Times New Roman" w:eastAsia="仿宋" w:cs="Times New Roman"/>
          <w:b/>
          <w:bCs/>
          <w:sz w:val="18"/>
          <w:szCs w:val="18"/>
        </w:rPr>
      </w:pPr>
    </w:p>
    <w:p>
      <w:pPr>
        <w:jc w:val="center"/>
        <w:rPr>
          <w:rFonts w:ascii="黑体" w:hAnsi="黑体" w:eastAsia="黑体" w:cs="黑体"/>
          <w:sz w:val="18"/>
          <w:szCs w:val="18"/>
        </w:rPr>
      </w:pPr>
      <w:r>
        <w:rPr>
          <w:rFonts w:hint="eastAsia" w:ascii="黑体" w:hAnsi="黑体" w:eastAsia="黑体" w:cs="黑体"/>
          <w:sz w:val="18"/>
          <w:szCs w:val="18"/>
        </w:rPr>
        <w:t>表Ⅱ2 旋转后的主成分特征值与方差贡献率</w:t>
      </w:r>
    </w:p>
    <w:p>
      <w:pPr>
        <w:jc w:val="center"/>
        <w:rPr>
          <w:rFonts w:ascii="Times New Roman" w:hAnsi="Times New Roman" w:eastAsia="仿宋" w:cs="Times New Roman"/>
          <w:szCs w:val="21"/>
        </w:rPr>
      </w:pP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4"/>
        <w:gridCol w:w="1372"/>
        <w:gridCol w:w="2103"/>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pct"/>
            <w:tcBorders>
              <w:left w:val="nil"/>
              <w:bottom w:val="single" w:color="auto" w:sz="4" w:space="0"/>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主成分</w:t>
            </w:r>
          </w:p>
        </w:tc>
        <w:tc>
          <w:tcPr>
            <w:tcW w:w="805" w:type="pct"/>
            <w:tcBorders>
              <w:left w:val="nil"/>
              <w:bottom w:val="single" w:color="auto" w:sz="4" w:space="0"/>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方差</w:t>
            </w:r>
          </w:p>
        </w:tc>
        <w:tc>
          <w:tcPr>
            <w:tcW w:w="1234" w:type="pct"/>
            <w:tcBorders>
              <w:left w:val="nil"/>
              <w:bottom w:val="single" w:color="auto" w:sz="4" w:space="0"/>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方差占比</w:t>
            </w:r>
          </w:p>
        </w:tc>
        <w:tc>
          <w:tcPr>
            <w:tcW w:w="1971" w:type="pct"/>
            <w:tcBorders>
              <w:left w:val="nil"/>
              <w:bottom w:val="single" w:color="auto" w:sz="4" w:space="0"/>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方差累计贡献率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988" w:type="pct"/>
            <w:tcBorders>
              <w:top w:val="single" w:color="auto" w:sz="4" w:space="0"/>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F1</w:t>
            </w:r>
          </w:p>
        </w:tc>
        <w:tc>
          <w:tcPr>
            <w:tcW w:w="805" w:type="pct"/>
            <w:tcBorders>
              <w:top w:val="single" w:color="auto" w:sz="4" w:space="0"/>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4.376 </w:t>
            </w:r>
          </w:p>
        </w:tc>
        <w:tc>
          <w:tcPr>
            <w:tcW w:w="1234" w:type="pct"/>
            <w:tcBorders>
              <w:top w:val="single" w:color="auto" w:sz="4" w:space="0"/>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0.486 </w:t>
            </w:r>
          </w:p>
        </w:tc>
        <w:tc>
          <w:tcPr>
            <w:tcW w:w="1971" w:type="pct"/>
            <w:tcBorders>
              <w:top w:val="single" w:color="auto" w:sz="4" w:space="0"/>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0.486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pct"/>
            <w:tcBorders>
              <w:top w:val="nil"/>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F2</w:t>
            </w:r>
          </w:p>
        </w:tc>
        <w:tc>
          <w:tcPr>
            <w:tcW w:w="805" w:type="pct"/>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1.925 </w:t>
            </w:r>
          </w:p>
        </w:tc>
        <w:tc>
          <w:tcPr>
            <w:tcW w:w="1234" w:type="pct"/>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0.214 </w:t>
            </w:r>
          </w:p>
        </w:tc>
        <w:tc>
          <w:tcPr>
            <w:tcW w:w="1971" w:type="pct"/>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pct"/>
            <w:tcBorders>
              <w:top w:val="nil"/>
              <w:left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F3</w:t>
            </w:r>
          </w:p>
        </w:tc>
        <w:tc>
          <w:tcPr>
            <w:tcW w:w="805" w:type="pct"/>
            <w:tcBorders>
              <w:top w:val="nil"/>
              <w:left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1.097 </w:t>
            </w:r>
          </w:p>
        </w:tc>
        <w:tc>
          <w:tcPr>
            <w:tcW w:w="1234" w:type="pct"/>
            <w:tcBorders>
              <w:top w:val="nil"/>
              <w:left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0.122 </w:t>
            </w:r>
          </w:p>
        </w:tc>
        <w:tc>
          <w:tcPr>
            <w:tcW w:w="1971" w:type="pct"/>
            <w:tcBorders>
              <w:top w:val="nil"/>
              <w:left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0.822 </w:t>
            </w:r>
          </w:p>
        </w:tc>
      </w:tr>
    </w:tbl>
    <w:p>
      <w:pPr>
        <w:rPr>
          <w:rFonts w:ascii="Times New Roman" w:hAnsi="Times New Roman" w:eastAsia="仿宋" w:cs="Times New Roman"/>
          <w:szCs w:val="21"/>
        </w:rPr>
      </w:pPr>
    </w:p>
    <w:p>
      <w:pPr>
        <w:jc w:val="center"/>
        <w:rPr>
          <w:rFonts w:ascii="黑体" w:hAnsi="黑体" w:eastAsia="黑体" w:cs="黑体"/>
          <w:sz w:val="18"/>
          <w:szCs w:val="18"/>
        </w:rPr>
      </w:pPr>
      <w:r>
        <w:rPr>
          <w:rFonts w:hint="eastAsia" w:ascii="黑体" w:hAnsi="黑体" w:eastAsia="黑体" w:cs="黑体"/>
          <w:sz w:val="18"/>
          <w:szCs w:val="18"/>
        </w:rPr>
        <w:t>表Ⅱ3 旋转后的特征值向量</w:t>
      </w:r>
    </w:p>
    <w:tbl>
      <w:tblPr>
        <w:tblStyle w:val="1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4"/>
        <w:gridCol w:w="2172"/>
        <w:gridCol w:w="2172"/>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pct"/>
            <w:tcBorders>
              <w:left w:val="nil"/>
              <w:bottom w:val="single" w:color="auto" w:sz="4" w:space="0"/>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变量</w:t>
            </w:r>
          </w:p>
        </w:tc>
        <w:tc>
          <w:tcPr>
            <w:tcW w:w="1274" w:type="pct"/>
            <w:tcBorders>
              <w:left w:val="nil"/>
              <w:bottom w:val="single" w:color="auto" w:sz="4" w:space="0"/>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F1</w:t>
            </w:r>
          </w:p>
        </w:tc>
        <w:tc>
          <w:tcPr>
            <w:tcW w:w="1274" w:type="pct"/>
            <w:tcBorders>
              <w:left w:val="nil"/>
              <w:bottom w:val="single" w:color="auto" w:sz="4" w:space="0"/>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F2</w:t>
            </w:r>
          </w:p>
        </w:tc>
        <w:tc>
          <w:tcPr>
            <w:tcW w:w="1274" w:type="pct"/>
            <w:tcBorders>
              <w:left w:val="nil"/>
              <w:bottom w:val="single" w:color="auto" w:sz="4" w:space="0"/>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F3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176" w:type="pct"/>
            <w:tcBorders>
              <w:top w:val="single" w:color="auto" w:sz="4" w:space="0"/>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政府规模</w:t>
            </w:r>
          </w:p>
        </w:tc>
        <w:tc>
          <w:tcPr>
            <w:tcW w:w="2172" w:type="dxa"/>
            <w:tcBorders>
              <w:top w:val="single" w:color="auto" w:sz="4" w:space="0"/>
              <w:left w:val="nil"/>
              <w:bottom w:val="nil"/>
              <w:right w:val="nil"/>
            </w:tcBorders>
            <w:vAlign w:val="center"/>
          </w:tcPr>
          <w:p>
            <w:pPr>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 xml:space="preserve">0.857 </w:t>
            </w:r>
          </w:p>
        </w:tc>
        <w:tc>
          <w:tcPr>
            <w:tcW w:w="2172" w:type="dxa"/>
            <w:tcBorders>
              <w:top w:val="single" w:color="auto" w:sz="4" w:space="0"/>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0.291 </w:t>
            </w:r>
          </w:p>
        </w:tc>
        <w:tc>
          <w:tcPr>
            <w:tcW w:w="2172" w:type="dxa"/>
            <w:tcBorders>
              <w:top w:val="single" w:color="auto" w:sz="4" w:space="0"/>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-0.142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176" w:type="pct"/>
            <w:tcBorders>
              <w:top w:val="nil"/>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宏观调节力度</w:t>
            </w:r>
          </w:p>
        </w:tc>
        <w:tc>
          <w:tcPr>
            <w:tcW w:w="2172" w:type="dxa"/>
            <w:tcBorders>
              <w:top w:val="nil"/>
              <w:left w:val="nil"/>
              <w:bottom w:val="nil"/>
              <w:right w:val="nil"/>
            </w:tcBorders>
            <w:vAlign w:val="center"/>
          </w:tcPr>
          <w:p>
            <w:pPr>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 xml:space="preserve">0.968 </w:t>
            </w:r>
          </w:p>
        </w:tc>
        <w:tc>
          <w:tcPr>
            <w:tcW w:w="2172"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0.101 </w:t>
            </w:r>
          </w:p>
        </w:tc>
        <w:tc>
          <w:tcPr>
            <w:tcW w:w="2172"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pct"/>
            <w:tcBorders>
              <w:top w:val="nil"/>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财政能力</w:t>
            </w:r>
          </w:p>
        </w:tc>
        <w:tc>
          <w:tcPr>
            <w:tcW w:w="2172" w:type="dxa"/>
            <w:tcBorders>
              <w:top w:val="nil"/>
              <w:left w:val="nil"/>
              <w:bottom w:val="nil"/>
              <w:right w:val="nil"/>
            </w:tcBorders>
            <w:vAlign w:val="center"/>
          </w:tcPr>
          <w:p>
            <w:pPr>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 xml:space="preserve">0.818 </w:t>
            </w:r>
          </w:p>
        </w:tc>
        <w:tc>
          <w:tcPr>
            <w:tcW w:w="2172"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0.321 </w:t>
            </w:r>
          </w:p>
        </w:tc>
        <w:tc>
          <w:tcPr>
            <w:tcW w:w="2172"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pct"/>
            <w:tcBorders>
              <w:top w:val="nil"/>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国有企业规模</w:t>
            </w:r>
          </w:p>
        </w:tc>
        <w:tc>
          <w:tcPr>
            <w:tcW w:w="2172"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0.253 </w:t>
            </w:r>
          </w:p>
        </w:tc>
        <w:tc>
          <w:tcPr>
            <w:tcW w:w="2172" w:type="dxa"/>
            <w:tcBorders>
              <w:top w:val="nil"/>
              <w:left w:val="nil"/>
              <w:bottom w:val="nil"/>
              <w:right w:val="nil"/>
            </w:tcBorders>
            <w:vAlign w:val="center"/>
          </w:tcPr>
          <w:p>
            <w:pPr>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 xml:space="preserve">0.903 </w:t>
            </w:r>
          </w:p>
        </w:tc>
        <w:tc>
          <w:tcPr>
            <w:tcW w:w="2172"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pct"/>
            <w:tcBorders>
              <w:top w:val="nil"/>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国有企业影响力</w:t>
            </w:r>
          </w:p>
        </w:tc>
        <w:tc>
          <w:tcPr>
            <w:tcW w:w="2172"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0.134 </w:t>
            </w:r>
          </w:p>
        </w:tc>
        <w:tc>
          <w:tcPr>
            <w:tcW w:w="2172" w:type="dxa"/>
            <w:tcBorders>
              <w:top w:val="nil"/>
              <w:left w:val="nil"/>
              <w:bottom w:val="nil"/>
              <w:right w:val="nil"/>
            </w:tcBorders>
            <w:vAlign w:val="center"/>
          </w:tcPr>
          <w:p>
            <w:pPr>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 xml:space="preserve">0.919 </w:t>
            </w:r>
          </w:p>
        </w:tc>
        <w:tc>
          <w:tcPr>
            <w:tcW w:w="2172"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pct"/>
            <w:tcBorders>
              <w:top w:val="nil"/>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地方保护水平</w:t>
            </w:r>
          </w:p>
        </w:tc>
        <w:tc>
          <w:tcPr>
            <w:tcW w:w="2172"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0.098 </w:t>
            </w:r>
          </w:p>
        </w:tc>
        <w:tc>
          <w:tcPr>
            <w:tcW w:w="2172"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-0.008 </w:t>
            </w:r>
          </w:p>
        </w:tc>
        <w:tc>
          <w:tcPr>
            <w:tcW w:w="2172"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b/>
                <w:bCs/>
                <w:kern w:val="0"/>
                <w:sz w:val="20"/>
                <w:szCs w:val="21"/>
              </w:rPr>
              <w:t xml:space="preserve">0.910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pct"/>
            <w:tcBorders>
              <w:top w:val="nil"/>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医疗单位发展水平</w:t>
            </w:r>
          </w:p>
        </w:tc>
        <w:tc>
          <w:tcPr>
            <w:tcW w:w="2172" w:type="dxa"/>
            <w:tcBorders>
              <w:top w:val="nil"/>
              <w:left w:val="nil"/>
              <w:bottom w:val="nil"/>
              <w:right w:val="nil"/>
            </w:tcBorders>
            <w:vAlign w:val="center"/>
          </w:tcPr>
          <w:p>
            <w:pPr>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 xml:space="preserve">0.564 </w:t>
            </w:r>
          </w:p>
        </w:tc>
        <w:tc>
          <w:tcPr>
            <w:tcW w:w="2172"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-0.124 </w:t>
            </w:r>
          </w:p>
        </w:tc>
        <w:tc>
          <w:tcPr>
            <w:tcW w:w="2172"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-0.450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pct"/>
            <w:tcBorders>
              <w:top w:val="nil"/>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文化单位发展水平</w:t>
            </w:r>
          </w:p>
        </w:tc>
        <w:tc>
          <w:tcPr>
            <w:tcW w:w="2172" w:type="dxa"/>
            <w:tcBorders>
              <w:top w:val="nil"/>
              <w:left w:val="nil"/>
              <w:bottom w:val="nil"/>
              <w:right w:val="nil"/>
            </w:tcBorders>
            <w:vAlign w:val="center"/>
          </w:tcPr>
          <w:p>
            <w:pPr>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 xml:space="preserve">0.912 </w:t>
            </w:r>
          </w:p>
        </w:tc>
        <w:tc>
          <w:tcPr>
            <w:tcW w:w="2172"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0.092 </w:t>
            </w:r>
          </w:p>
        </w:tc>
        <w:tc>
          <w:tcPr>
            <w:tcW w:w="2172"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0.090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pct"/>
            <w:tcBorders>
              <w:top w:val="nil"/>
              <w:left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教育单位发展水平</w:t>
            </w:r>
          </w:p>
        </w:tc>
        <w:tc>
          <w:tcPr>
            <w:tcW w:w="2172" w:type="dxa"/>
            <w:tcBorders>
              <w:top w:val="nil"/>
              <w:left w:val="nil"/>
              <w:right w:val="nil"/>
            </w:tcBorders>
            <w:vAlign w:val="center"/>
          </w:tcPr>
          <w:p>
            <w:pPr>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 xml:space="preserve">0.892 </w:t>
            </w:r>
          </w:p>
        </w:tc>
        <w:tc>
          <w:tcPr>
            <w:tcW w:w="2172" w:type="dxa"/>
            <w:tcBorders>
              <w:top w:val="nil"/>
              <w:left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0.210 </w:t>
            </w:r>
          </w:p>
        </w:tc>
        <w:tc>
          <w:tcPr>
            <w:tcW w:w="2172" w:type="dxa"/>
            <w:tcBorders>
              <w:top w:val="nil"/>
              <w:left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0.081 </w:t>
            </w:r>
          </w:p>
        </w:tc>
      </w:tr>
    </w:tbl>
    <w:p>
      <w:pPr>
        <w:rPr>
          <w:rFonts w:ascii="Times New Roman" w:hAnsi="Times New Roman" w:eastAsia="宋体" w:cs="Times New Roman"/>
          <w:sz w:val="15"/>
          <w:szCs w:val="15"/>
        </w:rPr>
      </w:pPr>
    </w:p>
    <w:p>
      <w:pPr>
        <w:ind w:firstLine="420"/>
        <w:rPr>
          <w:rFonts w:ascii="Times New Roman" w:hAnsi="Times New Roman" w:eastAsia="仿宋" w:cs="Times New Roman"/>
          <w:szCs w:val="21"/>
        </w:rPr>
      </w:pPr>
      <w:r>
        <w:rPr>
          <w:rFonts w:hint="eastAsia" w:ascii="Times New Roman" w:hAnsi="Times New Roman" w:eastAsia="仿宋" w:cs="Times New Roman"/>
          <w:szCs w:val="21"/>
        </w:rPr>
        <w:t>基于表</w:t>
      </w:r>
      <w:r>
        <w:rPr>
          <w:rFonts w:hint="eastAsia" w:ascii="仿宋" w:hAnsi="仿宋" w:eastAsia="仿宋" w:cs="仿宋"/>
          <w:szCs w:val="21"/>
        </w:rPr>
        <w:t>Ⅱ</w:t>
      </w:r>
      <w:r>
        <w:rPr>
          <w:rFonts w:hint="eastAsia" w:ascii="Times New Roman" w:hAnsi="Times New Roman" w:eastAsia="仿宋" w:cs="Times New Roman"/>
          <w:szCs w:val="21"/>
        </w:rPr>
        <w:t>2和表</w:t>
      </w:r>
      <w:r>
        <w:rPr>
          <w:rFonts w:hint="eastAsia" w:ascii="仿宋" w:hAnsi="仿宋" w:eastAsia="仿宋" w:cs="仿宋"/>
          <w:szCs w:val="21"/>
        </w:rPr>
        <w:t>Ⅱ</w:t>
      </w:r>
      <w:r>
        <w:rPr>
          <w:rFonts w:hint="eastAsia" w:ascii="Times New Roman" w:hAnsi="Times New Roman" w:eastAsia="仿宋" w:cs="Times New Roman"/>
          <w:szCs w:val="21"/>
        </w:rPr>
        <w:t>3，就可以根据主成分分析的推导公式来计算各个指标在显性体制引力中的权重，权重的结果报告如表</w:t>
      </w:r>
      <w:r>
        <w:rPr>
          <w:rFonts w:hint="eastAsia" w:ascii="仿宋" w:hAnsi="仿宋" w:eastAsia="仿宋" w:cs="仿宋"/>
          <w:szCs w:val="21"/>
        </w:rPr>
        <w:t>Ⅱ</w:t>
      </w:r>
      <w:r>
        <w:rPr>
          <w:rFonts w:hint="eastAsia" w:ascii="Times New Roman" w:hAnsi="Times New Roman" w:eastAsia="仿宋" w:cs="Times New Roman"/>
          <w:szCs w:val="21"/>
        </w:rPr>
        <w:t>4所示。具体计算方法是，将各个指标的主成分特征值向量分别乘上对应的主成分方差占比，最后再将所有指标进行标准化。以政府规模为例，其权重计算为0.857*0.486+0.291*0.214+0.122*-0.142=0.461，标准化后就为0.139。</w:t>
      </w:r>
    </w:p>
    <w:p>
      <w:pPr>
        <w:ind w:firstLine="420"/>
        <w:rPr>
          <w:rFonts w:ascii="Times New Roman" w:hAnsi="Times New Roman" w:eastAsia="仿宋" w:cs="Times New Roman"/>
          <w:szCs w:val="21"/>
        </w:rPr>
      </w:pPr>
    </w:p>
    <w:p>
      <w:pPr>
        <w:jc w:val="center"/>
        <w:rPr>
          <w:rFonts w:ascii="黑体" w:hAnsi="黑体" w:eastAsia="黑体" w:cs="黑体"/>
          <w:sz w:val="18"/>
          <w:szCs w:val="18"/>
        </w:rPr>
      </w:pPr>
      <w:r>
        <w:rPr>
          <w:rFonts w:hint="eastAsia" w:ascii="黑体" w:hAnsi="黑体" w:eastAsia="黑体" w:cs="黑体"/>
          <w:sz w:val="18"/>
          <w:szCs w:val="18"/>
        </w:rPr>
        <w:t>表Ⅱ4 各指标所占权重</w:t>
      </w:r>
    </w:p>
    <w:tbl>
      <w:tblPr>
        <w:tblStyle w:val="1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0"/>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7" w:type="pct"/>
            <w:tcBorders>
              <w:left w:val="nil"/>
              <w:bottom w:val="single" w:color="auto" w:sz="4" w:space="0"/>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变量</w:t>
            </w:r>
          </w:p>
        </w:tc>
        <w:tc>
          <w:tcPr>
            <w:tcW w:w="1332" w:type="pct"/>
            <w:tcBorders>
              <w:left w:val="nil"/>
              <w:bottom w:val="single" w:color="auto" w:sz="4" w:space="0"/>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3667" w:type="pct"/>
            <w:tcBorders>
              <w:top w:val="single" w:color="auto" w:sz="4" w:space="0"/>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政府规模</w:t>
            </w:r>
          </w:p>
        </w:tc>
        <w:tc>
          <w:tcPr>
            <w:tcW w:w="1332" w:type="pct"/>
            <w:tcBorders>
              <w:top w:val="single" w:color="auto" w:sz="4" w:space="0"/>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0.139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7" w:type="pct"/>
            <w:tcBorders>
              <w:top w:val="nil"/>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宏观调节力度</w:t>
            </w:r>
          </w:p>
        </w:tc>
        <w:tc>
          <w:tcPr>
            <w:tcW w:w="1332" w:type="pct"/>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7" w:type="pct"/>
            <w:tcBorders>
              <w:top w:val="nil"/>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财政能力</w:t>
            </w:r>
          </w:p>
        </w:tc>
        <w:tc>
          <w:tcPr>
            <w:tcW w:w="1332" w:type="pct"/>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0.141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0" w:type="dxa"/>
            <w:tcBorders>
              <w:top w:val="nil"/>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国有企业规模</w:t>
            </w:r>
          </w:p>
        </w:tc>
        <w:tc>
          <w:tcPr>
            <w:tcW w:w="1332" w:type="pct"/>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0.091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0" w:type="dxa"/>
            <w:tcBorders>
              <w:top w:val="nil"/>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国有企业影响力</w:t>
            </w:r>
          </w:p>
        </w:tc>
        <w:tc>
          <w:tcPr>
            <w:tcW w:w="1332" w:type="pct"/>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7" w:type="pct"/>
            <w:tcBorders>
              <w:top w:val="nil"/>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地方保护水平</w:t>
            </w:r>
          </w:p>
        </w:tc>
        <w:tc>
          <w:tcPr>
            <w:tcW w:w="1332" w:type="pct"/>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7" w:type="pct"/>
            <w:tcBorders>
              <w:top w:val="nil"/>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医疗单位发展水平</w:t>
            </w:r>
          </w:p>
        </w:tc>
        <w:tc>
          <w:tcPr>
            <w:tcW w:w="1332" w:type="pct"/>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7" w:type="pct"/>
            <w:tcBorders>
              <w:top w:val="nil"/>
              <w:left w:val="nil"/>
              <w:bottom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文化单位发展水平</w:t>
            </w:r>
          </w:p>
        </w:tc>
        <w:tc>
          <w:tcPr>
            <w:tcW w:w="1332" w:type="pct"/>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0.143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7" w:type="pct"/>
            <w:tcBorders>
              <w:top w:val="nil"/>
              <w:left w:val="nil"/>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教育单位发展水平</w:t>
            </w:r>
          </w:p>
        </w:tc>
        <w:tc>
          <w:tcPr>
            <w:tcW w:w="1332" w:type="pct"/>
            <w:tcBorders>
              <w:top w:val="nil"/>
              <w:left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0.147</w:t>
            </w:r>
          </w:p>
        </w:tc>
      </w:tr>
    </w:tbl>
    <w:p>
      <w:pPr>
        <w:rPr>
          <w:rFonts w:ascii="Times New Roman" w:hAnsi="Times New Roman" w:eastAsia="仿宋" w:cs="Times New Roman"/>
          <w:szCs w:val="21"/>
        </w:rPr>
      </w:pPr>
    </w:p>
    <w:p>
      <w:pPr>
        <w:ind w:firstLine="420"/>
        <w:rPr>
          <w:rFonts w:ascii="Times New Roman" w:hAnsi="Times New Roman" w:eastAsia="仿宋" w:cs="Times New Roman"/>
          <w:szCs w:val="21"/>
        </w:rPr>
      </w:pPr>
      <w:r>
        <w:rPr>
          <w:rFonts w:hint="eastAsia" w:ascii="Times New Roman" w:hAnsi="Times New Roman" w:eastAsia="仿宋" w:cs="Times New Roman"/>
          <w:szCs w:val="21"/>
        </w:rPr>
        <w:t>与此同时，为了进一步说明显性体制引力指标的合理性，我们选取两个省份作为代表性案例进行对比分析，结果报告如表</w:t>
      </w:r>
      <w:r>
        <w:rPr>
          <w:rFonts w:hint="eastAsia" w:ascii="仿宋" w:hAnsi="仿宋" w:eastAsia="仿宋" w:cs="仿宋"/>
          <w:szCs w:val="21"/>
        </w:rPr>
        <w:t>Ⅱ</w:t>
      </w:r>
      <w:r>
        <w:rPr>
          <w:rFonts w:hint="eastAsia" w:ascii="Times New Roman" w:hAnsi="Times New Roman" w:eastAsia="仿宋" w:cs="Times New Roman"/>
          <w:szCs w:val="21"/>
        </w:rPr>
        <w:t>5所示。我们选取了以非体制部门为主体的广东省和以体制部门为主体的新疆维吾尔自治区为例进行说明。由于显性体制引力的内涵是体制部门的比较优势，通过比较这两个具有代表性的省份，就能很直观地发现，本文所计算的显性体制引力指标能够反映这一内涵。从地区差异来看，无论在哪一年，市场经济迅速发展的广东省的显性体制引力都远远低于体制部门占主体的新疆维吾尔自治区。从年份变化来看，2000年中国加入世贸组织，地处沿海地区的广东省享受到了开放红利，市场经济发展迅速，可以发现从2000—2008年广东省的显性体制引力并没有明显变化，反而有所下降，从2000年的0.961已经降至2008年的0.</w:t>
      </w:r>
      <w:r>
        <w:rPr>
          <w:rFonts w:ascii="Times New Roman" w:hAnsi="Times New Roman" w:eastAsia="仿宋" w:cs="Times New Roman"/>
          <w:szCs w:val="21"/>
        </w:rPr>
        <w:t>90</w:t>
      </w:r>
      <w:r>
        <w:rPr>
          <w:rFonts w:hint="eastAsia" w:ascii="Times New Roman" w:hAnsi="Times New Roman" w:eastAsia="仿宋" w:cs="Times New Roman"/>
          <w:szCs w:val="21"/>
        </w:rPr>
        <w:t>2。但与此同时，位居内陆的新疆维吾尔自治区，并没有充分享受到贸易扩张所带来的好处，发展仍由体制部门带动，因而其显性体制引力不降反升，从2000年的1.461上升至2008年的2.089。到了2008年，市场经济受到金融危机的冲击，体制部门的比较优势又得到凸显，可以发现，无论是广东省还是新疆维吾尔自治区的显性体制引力，都有所上升，到2015年已经分别升至1.405和3.167。到了2015年，国家出台最严“限薪令”，限制了国有企业从业的薪酬，从而抑制显性体制引力，结果两个省份的显性体制引力都有所下降，而体制部门占据主体的新疆维吾尔自治区下降幅度更大。总的来说，本文所刻画的显性体制引力指标，与中国经济变化的特征事实相吻合，这证实了本文指标刻画的合理性和稳健性。</w:t>
      </w:r>
    </w:p>
    <w:p>
      <w:pPr>
        <w:ind w:firstLine="420"/>
        <w:rPr>
          <w:rFonts w:ascii="Times New Roman" w:hAnsi="Times New Roman" w:eastAsia="仿宋" w:cs="Times New Roman"/>
          <w:szCs w:val="21"/>
        </w:rPr>
      </w:pPr>
    </w:p>
    <w:p>
      <w:pPr>
        <w:jc w:val="center"/>
        <w:rPr>
          <w:rFonts w:ascii="黑体" w:hAnsi="黑体" w:eastAsia="黑体" w:cs="黑体"/>
          <w:sz w:val="18"/>
          <w:szCs w:val="18"/>
        </w:rPr>
      </w:pPr>
      <w:r>
        <w:rPr>
          <w:rFonts w:hint="eastAsia" w:ascii="黑体" w:hAnsi="黑体" w:eastAsia="黑体" w:cs="黑体"/>
          <w:sz w:val="18"/>
          <w:szCs w:val="18"/>
        </w:rPr>
        <w:t>表Ⅱ5 显性体制引力的代表案例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left w:val="nil"/>
              <w:bottom w:val="single" w:color="auto" w:sz="4" w:space="0"/>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年份</w:t>
            </w:r>
          </w:p>
        </w:tc>
        <w:tc>
          <w:tcPr>
            <w:tcW w:w="2841" w:type="dxa"/>
            <w:tcBorders>
              <w:left w:val="nil"/>
              <w:bottom w:val="single" w:color="auto" w:sz="4" w:space="0"/>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广东省</w:t>
            </w:r>
          </w:p>
        </w:tc>
        <w:tc>
          <w:tcPr>
            <w:tcW w:w="2841" w:type="dxa"/>
            <w:tcBorders>
              <w:left w:val="nil"/>
              <w:bottom w:val="single" w:color="auto" w:sz="4" w:space="0"/>
              <w:right w:val="nil"/>
            </w:tcBorders>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新疆维吾尔自治区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single" w:color="auto" w:sz="4" w:space="0"/>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2000</w:t>
            </w:r>
          </w:p>
        </w:tc>
        <w:tc>
          <w:tcPr>
            <w:tcW w:w="2841" w:type="dxa"/>
            <w:tcBorders>
              <w:top w:val="single" w:color="auto" w:sz="4" w:space="0"/>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0.961 </w:t>
            </w:r>
          </w:p>
        </w:tc>
        <w:tc>
          <w:tcPr>
            <w:tcW w:w="2841" w:type="dxa"/>
            <w:tcBorders>
              <w:top w:val="single" w:color="auto" w:sz="4" w:space="0"/>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1.461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2001</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1.024 </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2.101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2002</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1.091 </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2.071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2003</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1.148 </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2.299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2004</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1.032 </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1.890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2005</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1.000 </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1.906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2006</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0.955 </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2.037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2007</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0.902 </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2.066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2008</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0.902 </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2.089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2009</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1.015 </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2.647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2010</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0.961 </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2.441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2011</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1.028 </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2.416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2012</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1.083 </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2.901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2013</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1.074 </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2.855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2014</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1.064 </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2.752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2015</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1.405 </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3.167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2016</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1.286 </w:t>
            </w:r>
          </w:p>
        </w:tc>
        <w:tc>
          <w:tcPr>
            <w:tcW w:w="2841" w:type="dxa"/>
            <w:tcBorders>
              <w:top w:val="nil"/>
              <w:left w:val="nil"/>
              <w:bottom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2.985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2017</w:t>
            </w:r>
          </w:p>
        </w:tc>
        <w:tc>
          <w:tcPr>
            <w:tcW w:w="2841" w:type="dxa"/>
            <w:tcBorders>
              <w:top w:val="nil"/>
              <w:left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1.443 </w:t>
            </w:r>
          </w:p>
        </w:tc>
        <w:tc>
          <w:tcPr>
            <w:tcW w:w="2841" w:type="dxa"/>
            <w:tcBorders>
              <w:top w:val="nil"/>
              <w:left w:val="nil"/>
              <w:right w:val="nil"/>
            </w:tcBorders>
            <w:vAlign w:val="center"/>
          </w:tcPr>
          <w:p>
            <w:pPr>
              <w:jc w:val="center"/>
              <w:rPr>
                <w:rFonts w:ascii="Times New Roman" w:hAnsi="Times New Roman" w:eastAsia="仿宋" w:cs="Times New Roman"/>
                <w:kern w:val="0"/>
                <w:sz w:val="20"/>
                <w:szCs w:val="21"/>
              </w:rPr>
            </w:pPr>
            <w:r>
              <w:rPr>
                <w:rFonts w:hint="eastAsia" w:ascii="Times New Roman" w:hAnsi="Times New Roman" w:eastAsia="仿宋" w:cs="Times New Roman"/>
                <w:kern w:val="0"/>
                <w:sz w:val="20"/>
                <w:szCs w:val="21"/>
              </w:rPr>
              <w:t xml:space="preserve">2.750 </w:t>
            </w:r>
          </w:p>
        </w:tc>
      </w:tr>
    </w:tbl>
    <w:p>
      <w:pPr>
        <w:rPr>
          <w:rFonts w:ascii="Times New Roman" w:hAnsi="Times New Roman" w:eastAsia="仿宋" w:cs="Times New Roman"/>
          <w:b/>
          <w:bCs/>
          <w:szCs w:val="21"/>
        </w:rPr>
      </w:pPr>
    </w:p>
    <w:p>
      <w:pPr>
        <w:ind w:firstLine="420"/>
        <w:rPr>
          <w:rFonts w:ascii="Times New Roman" w:hAnsi="Times New Roman" w:eastAsia="仿宋" w:cs="Times New Roman"/>
          <w:szCs w:val="21"/>
        </w:rPr>
      </w:pPr>
      <w:r>
        <w:rPr>
          <w:rFonts w:ascii="Times New Roman" w:hAnsi="Times New Roman" w:eastAsia="仿宋" w:cs="Times New Roman"/>
          <w:szCs w:val="21"/>
        </w:rPr>
        <w:t>更进一步地，本文还将2018年</w:t>
      </w:r>
      <w:r>
        <w:rPr>
          <w:rFonts w:hint="eastAsia" w:ascii="Times New Roman" w:hAnsi="Times New Roman" w:eastAsia="仿宋" w:cs="Times New Roman"/>
          <w:szCs w:val="21"/>
        </w:rPr>
        <w:t>显性</w:t>
      </w:r>
      <w:r>
        <w:rPr>
          <w:rFonts w:ascii="Times New Roman" w:hAnsi="Times New Roman" w:eastAsia="仿宋" w:cs="Times New Roman"/>
          <w:szCs w:val="21"/>
        </w:rPr>
        <w:t>体制引力与体制-非体制部门从业人员受教育程度之比以及</w:t>
      </w:r>
      <w:r>
        <w:rPr>
          <w:rFonts w:hint="eastAsia" w:ascii="Times New Roman" w:hAnsi="Times New Roman" w:eastAsia="仿宋" w:cs="Times New Roman"/>
          <w:szCs w:val="21"/>
        </w:rPr>
        <w:t>显性</w:t>
      </w:r>
      <w:r>
        <w:rPr>
          <w:rFonts w:ascii="Times New Roman" w:hAnsi="Times New Roman" w:eastAsia="仿宋" w:cs="Times New Roman"/>
          <w:szCs w:val="21"/>
        </w:rPr>
        <w:t>体制引力与地方国考报名人数/人口数绘制成散点图如图</w:t>
      </w:r>
      <w:r>
        <w:rPr>
          <w:rFonts w:hint="eastAsia" w:ascii="仿宋" w:hAnsi="仿宋" w:eastAsia="仿宋" w:cs="仿宋"/>
          <w:szCs w:val="21"/>
        </w:rPr>
        <w:t>Ⅱ2</w:t>
      </w:r>
      <w:r>
        <w:rPr>
          <w:rFonts w:ascii="Times New Roman" w:hAnsi="Times New Roman" w:eastAsia="仿宋" w:cs="Times New Roman"/>
          <w:szCs w:val="21"/>
        </w:rPr>
        <w:t>所示，用以捕捉体制引力与人才配置的相关关系。可以发现，</w:t>
      </w:r>
      <w:r>
        <w:rPr>
          <w:rFonts w:hint="eastAsia" w:ascii="Times New Roman" w:hAnsi="Times New Roman" w:eastAsia="仿宋" w:cs="Times New Roman"/>
          <w:szCs w:val="21"/>
        </w:rPr>
        <w:t>显性</w:t>
      </w:r>
      <w:r>
        <w:rPr>
          <w:rFonts w:ascii="Times New Roman" w:hAnsi="Times New Roman" w:eastAsia="仿宋" w:cs="Times New Roman"/>
          <w:szCs w:val="21"/>
        </w:rPr>
        <w:t>体制引力与体制-非体制部门从业人员受教育程度之比及国考报名人数/人口数均呈正相关关系，也即</w:t>
      </w:r>
      <w:r>
        <w:rPr>
          <w:rFonts w:hint="eastAsia" w:ascii="Times New Roman" w:hAnsi="Times New Roman" w:eastAsia="仿宋" w:cs="Times New Roman"/>
          <w:szCs w:val="21"/>
        </w:rPr>
        <w:t>显性</w:t>
      </w:r>
      <w:r>
        <w:rPr>
          <w:rFonts w:ascii="Times New Roman" w:hAnsi="Times New Roman" w:eastAsia="仿宋" w:cs="Times New Roman"/>
          <w:szCs w:val="21"/>
        </w:rPr>
        <w:t>体制引力愈高的省份，人才愈偏向于配置体制部门，这都与本文的理论预期相符。不过，为了准确识别</w:t>
      </w:r>
      <w:r>
        <w:rPr>
          <w:rFonts w:hint="eastAsia" w:ascii="Times New Roman" w:hAnsi="Times New Roman" w:eastAsia="仿宋" w:cs="Times New Roman"/>
          <w:szCs w:val="21"/>
        </w:rPr>
        <w:t>显性</w:t>
      </w:r>
      <w:r>
        <w:rPr>
          <w:rFonts w:ascii="Times New Roman" w:hAnsi="Times New Roman" w:eastAsia="仿宋" w:cs="Times New Roman"/>
          <w:szCs w:val="21"/>
        </w:rPr>
        <w:t>体制引力与人才配置乃至</w:t>
      </w:r>
      <w:r>
        <w:rPr>
          <w:rFonts w:hint="eastAsia" w:ascii="Times New Roman" w:hAnsi="Times New Roman" w:eastAsia="仿宋" w:cs="Times New Roman"/>
          <w:szCs w:val="21"/>
        </w:rPr>
        <w:t>企业全要素生产率</w:t>
      </w:r>
      <w:r>
        <w:rPr>
          <w:rFonts w:ascii="Times New Roman" w:hAnsi="Times New Roman" w:eastAsia="仿宋" w:cs="Times New Roman"/>
          <w:szCs w:val="21"/>
        </w:rPr>
        <w:t>间的关系，还需要通过稳健的实证方法来证实体制引力理论的关键机制。</w:t>
      </w:r>
    </w:p>
    <w:p>
      <w:pPr>
        <w:rPr>
          <w:rFonts w:ascii="Times New Roman" w:hAnsi="Times New Roman" w:eastAsia="仿宋" w:cs="Times New Roman"/>
          <w:szCs w:val="21"/>
        </w:rPr>
      </w:pPr>
    </w:p>
    <w:p>
      <w:pPr>
        <w:jc w:val="center"/>
        <w:rPr>
          <w:rFonts w:ascii="Times New Roman" w:hAnsi="Times New Roman" w:eastAsia="仿宋" w:cs="Times New Roman"/>
          <w:szCs w:val="21"/>
        </w:rPr>
      </w:pPr>
      <w:r>
        <w:rPr>
          <w:rFonts w:ascii="Times New Roman" w:hAnsi="Times New Roman" w:eastAsia="仿宋" w:cs="Times New Roman"/>
          <w:szCs w:val="21"/>
        </w:rPr>
        <w:drawing>
          <wp:inline distT="0" distB="0" distL="0" distR="0">
            <wp:extent cx="2351405" cy="2025015"/>
            <wp:effectExtent l="0" t="0" r="10795" b="698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73642" cy="2044618"/>
                    </a:xfrm>
                    <a:prstGeom prst="rect">
                      <a:avLst/>
                    </a:prstGeom>
                  </pic:spPr>
                </pic:pic>
              </a:graphicData>
            </a:graphic>
          </wp:inline>
        </w:drawing>
      </w:r>
      <w:r>
        <w:rPr>
          <w:rFonts w:ascii="Times New Roman" w:hAnsi="Times New Roman" w:eastAsia="仿宋" w:cs="Times New Roman"/>
          <w:szCs w:val="21"/>
        </w:rPr>
        <w:drawing>
          <wp:inline distT="0" distB="0" distL="0" distR="0">
            <wp:extent cx="2459990" cy="2018665"/>
            <wp:effectExtent l="0" t="0" r="3810" b="63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74569" cy="2030153"/>
                    </a:xfrm>
                    <a:prstGeom prst="rect">
                      <a:avLst/>
                    </a:prstGeom>
                  </pic:spPr>
                </pic:pic>
              </a:graphicData>
            </a:graphic>
          </wp:inline>
        </w:drawing>
      </w:r>
    </w:p>
    <w:p>
      <w:pPr>
        <w:jc w:val="center"/>
        <w:rPr>
          <w:rFonts w:ascii="黑体" w:hAnsi="黑体" w:eastAsia="黑体" w:cs="黑体"/>
          <w:sz w:val="18"/>
          <w:szCs w:val="18"/>
        </w:rPr>
      </w:pPr>
      <w:r>
        <w:rPr>
          <w:rFonts w:hint="eastAsia" w:ascii="黑体" w:hAnsi="黑体" w:eastAsia="黑体" w:cs="黑体"/>
          <w:sz w:val="18"/>
          <w:szCs w:val="18"/>
        </w:rPr>
        <w:t>图Ⅱ2 体制引力与人才配置的相关关系</w:t>
      </w:r>
    </w:p>
    <w:p>
      <w:pPr>
        <w:rPr>
          <w:rFonts w:ascii="Times New Roman" w:hAnsi="Times New Roman" w:eastAsia="仿宋" w:cs="Times New Roman"/>
          <w:szCs w:val="21"/>
        </w:rPr>
      </w:pPr>
      <w:r>
        <w:rPr>
          <w:rFonts w:ascii="Times New Roman" w:hAnsi="Times New Roman" w:eastAsia="仿宋" w:cs="Times New Roman"/>
          <w:szCs w:val="21"/>
        </w:rPr>
        <w:br w:type="page"/>
      </w:r>
    </w:p>
    <w:p>
      <w:pPr>
        <w:pStyle w:val="2"/>
        <w:spacing w:line="240" w:lineRule="auto"/>
        <w:jc w:val="center"/>
        <w:rPr>
          <w:rFonts w:ascii="楷体" w:hAnsi="楷体" w:eastAsia="楷体" w:cs="Times New Roman"/>
          <w:b w:val="0"/>
          <w:bCs w:val="0"/>
          <w:sz w:val="28"/>
          <w:szCs w:val="28"/>
        </w:rPr>
      </w:pPr>
      <w:bookmarkStart w:id="7" w:name="_Toc159314268"/>
      <w:r>
        <w:rPr>
          <w:rFonts w:hint="eastAsia" w:ascii="楷体" w:hAnsi="楷体" w:eastAsia="楷体"/>
          <w:b w:val="0"/>
          <w:bCs w:val="0"/>
          <w:sz w:val="28"/>
          <w:szCs w:val="28"/>
        </w:rPr>
        <w:t>附录Ⅲ 稳健性检验</w:t>
      </w:r>
      <w:bookmarkEnd w:id="7"/>
    </w:p>
    <w:p>
      <w:pPr>
        <w:ind w:firstLine="420"/>
        <w:rPr>
          <w:rFonts w:ascii="Times New Roman" w:hAnsi="Times New Roman" w:eastAsia="仿宋" w:cs="Times New Roman"/>
          <w:b/>
          <w:bCs/>
          <w:szCs w:val="21"/>
        </w:rPr>
      </w:pPr>
      <w:r>
        <w:rPr>
          <w:rFonts w:ascii="Times New Roman" w:hAnsi="Times New Roman" w:eastAsia="仿宋" w:cs="Times New Roman"/>
          <w:b/>
          <w:bCs/>
          <w:szCs w:val="21"/>
        </w:rPr>
        <w:t>1.全要素生产率的度量</w:t>
      </w:r>
    </w:p>
    <w:p>
      <w:pPr>
        <w:ind w:firstLine="420"/>
        <w:rPr>
          <w:rFonts w:ascii="Times New Roman" w:hAnsi="Times New Roman" w:eastAsia="仿宋" w:cs="Times New Roman"/>
          <w:szCs w:val="21"/>
        </w:rPr>
      </w:pPr>
      <w:r>
        <w:rPr>
          <w:rFonts w:ascii="Times New Roman" w:hAnsi="Times New Roman" w:eastAsia="仿宋" w:cs="Times New Roman"/>
          <w:szCs w:val="21"/>
        </w:rPr>
        <w:t>参考Olley</w:t>
      </w:r>
      <w:r>
        <w:rPr>
          <w:rFonts w:hint="eastAsia" w:ascii="Times New Roman" w:hAnsi="Times New Roman" w:eastAsia="仿宋" w:cs="Times New Roman"/>
          <w:szCs w:val="21"/>
        </w:rPr>
        <w:t xml:space="preserve"> </w:t>
      </w:r>
      <w:r>
        <w:rPr>
          <w:rFonts w:ascii="Times New Roman" w:hAnsi="Times New Roman" w:eastAsia="仿宋" w:cs="Times New Roman"/>
          <w:szCs w:val="21"/>
        </w:rPr>
        <w:t>&amp;</w:t>
      </w:r>
      <w:r>
        <w:rPr>
          <w:rFonts w:hint="eastAsia" w:ascii="Times New Roman" w:hAnsi="Times New Roman" w:eastAsia="仿宋" w:cs="Times New Roman"/>
          <w:szCs w:val="21"/>
        </w:rPr>
        <w:t xml:space="preserve"> </w:t>
      </w:r>
      <w:r>
        <w:rPr>
          <w:rFonts w:ascii="Times New Roman" w:hAnsi="Times New Roman" w:eastAsia="仿宋" w:cs="Times New Roman"/>
          <w:szCs w:val="21"/>
        </w:rPr>
        <w:t>Pakes（1996）和</w:t>
      </w:r>
      <w:r>
        <w:rPr>
          <w:rFonts w:ascii="Times New Roman" w:hAnsi="Times New Roman" w:eastAsia="仿宋" w:cs="Times New Roman"/>
          <w:kern w:val="0"/>
          <w:szCs w:val="21"/>
        </w:rPr>
        <w:t>Ackerberg、Caves and Frazer（2006）</w:t>
      </w:r>
      <w:r>
        <w:rPr>
          <w:rFonts w:ascii="Times New Roman" w:hAnsi="Times New Roman" w:eastAsia="仿宋" w:cs="Times New Roman"/>
          <w:szCs w:val="21"/>
        </w:rPr>
        <w:t>对企业全要素生产率的测度方法，本文重新计算了企业的全要素生产率，以进行替换被解释变量的稳健性检验。表</w:t>
      </w:r>
      <w:r>
        <w:rPr>
          <w:rFonts w:hint="eastAsia" w:ascii="仿宋" w:hAnsi="仿宋" w:eastAsia="仿宋" w:cs="仿宋"/>
          <w:szCs w:val="21"/>
        </w:rPr>
        <w:t>Ⅲ1</w:t>
      </w:r>
      <w:r>
        <w:rPr>
          <w:rFonts w:ascii="Times New Roman" w:hAnsi="Times New Roman" w:eastAsia="仿宋" w:cs="Times New Roman"/>
          <w:szCs w:val="21"/>
        </w:rPr>
        <w:t>的回归结果显示，无论采用哪种企业全要素生产率的计算方法，体制引力的估计系数均为负且至少在10%水平上显著，结果稳健。</w:t>
      </w:r>
    </w:p>
    <w:p>
      <w:pPr>
        <w:ind w:firstLine="420"/>
        <w:rPr>
          <w:rFonts w:ascii="宋体" w:hAnsi="宋体" w:eastAsia="宋体" w:cs="宋体"/>
          <w:szCs w:val="21"/>
        </w:rPr>
      </w:pPr>
    </w:p>
    <w:p>
      <w:pPr>
        <w:jc w:val="center"/>
        <w:rPr>
          <w:rFonts w:ascii="黑体" w:hAnsi="黑体" w:eastAsia="黑体" w:cs="黑体"/>
          <w:sz w:val="18"/>
          <w:szCs w:val="18"/>
        </w:rPr>
      </w:pPr>
      <w:r>
        <w:rPr>
          <w:rFonts w:hint="eastAsia" w:ascii="黑体" w:hAnsi="黑体" w:eastAsia="黑体" w:cs="黑体"/>
          <w:sz w:val="18"/>
          <w:szCs w:val="18"/>
        </w:rPr>
        <w:t>表Ⅲ1  更换被解释变量度量方法后的回归结果</w:t>
      </w:r>
    </w:p>
    <w:tbl>
      <w:tblPr>
        <w:tblStyle w:val="14"/>
        <w:tblW w:w="4998" w:type="pct"/>
        <w:jc w:val="center"/>
        <w:tblLayout w:type="autofit"/>
        <w:tblCellMar>
          <w:top w:w="0" w:type="dxa"/>
          <w:left w:w="108" w:type="dxa"/>
          <w:bottom w:w="0" w:type="dxa"/>
          <w:right w:w="108" w:type="dxa"/>
        </w:tblCellMar>
      </w:tblPr>
      <w:tblGrid>
        <w:gridCol w:w="2031"/>
        <w:gridCol w:w="2122"/>
        <w:gridCol w:w="2122"/>
        <w:gridCol w:w="2244"/>
      </w:tblGrid>
      <w:tr>
        <w:tblPrEx>
          <w:tblCellMar>
            <w:top w:w="0" w:type="dxa"/>
            <w:left w:w="108" w:type="dxa"/>
            <w:bottom w:w="0" w:type="dxa"/>
            <w:right w:w="108" w:type="dxa"/>
          </w:tblCellMar>
        </w:tblPrEx>
        <w:trPr>
          <w:jc w:val="center"/>
        </w:trPr>
        <w:tc>
          <w:tcPr>
            <w:tcW w:w="1192" w:type="pct"/>
            <w:tcBorders>
              <w:top w:val="single" w:color="auto" w:sz="4" w:space="0"/>
              <w:left w:val="nil"/>
              <w:bottom w:val="nil"/>
              <w:right w:val="nil"/>
            </w:tcBorders>
          </w:tcPr>
          <w:p>
            <w:pPr>
              <w:jc w:val="center"/>
              <w:rPr>
                <w:rFonts w:ascii="Times New Roman" w:hAnsi="Times New Roman" w:eastAsia="仿宋" w:cs="Times New Roman"/>
                <w:sz w:val="15"/>
                <w:szCs w:val="15"/>
              </w:rPr>
            </w:pPr>
          </w:p>
        </w:tc>
        <w:tc>
          <w:tcPr>
            <w:tcW w:w="1245"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w:t>
            </w:r>
          </w:p>
        </w:tc>
        <w:tc>
          <w:tcPr>
            <w:tcW w:w="1245"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（2）</w:t>
            </w:r>
          </w:p>
        </w:tc>
        <w:tc>
          <w:tcPr>
            <w:tcW w:w="1317"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w:t>
            </w:r>
          </w:p>
        </w:tc>
      </w:tr>
      <w:tr>
        <w:tblPrEx>
          <w:tblCellMar>
            <w:top w:w="0" w:type="dxa"/>
            <w:left w:w="108" w:type="dxa"/>
            <w:bottom w:w="0" w:type="dxa"/>
            <w:right w:w="108" w:type="dxa"/>
          </w:tblCellMar>
        </w:tblPrEx>
        <w:trPr>
          <w:jc w:val="center"/>
        </w:trPr>
        <w:tc>
          <w:tcPr>
            <w:tcW w:w="1192"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变量</w:t>
            </w:r>
          </w:p>
        </w:tc>
        <w:tc>
          <w:tcPr>
            <w:tcW w:w="1245" w:type="pct"/>
            <w:tcBorders>
              <w:top w:val="nil"/>
              <w:left w:val="nil"/>
              <w:bottom w:val="single" w:color="auto" w:sz="4" w:space="0"/>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op</w:t>
            </w:r>
          </w:p>
        </w:tc>
        <w:tc>
          <w:tcPr>
            <w:tcW w:w="1245" w:type="pct"/>
            <w:tcBorders>
              <w:top w:val="nil"/>
              <w:left w:val="nil"/>
              <w:bottom w:val="single" w:color="auto" w:sz="4" w:space="0"/>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acf</w:t>
            </w:r>
          </w:p>
        </w:tc>
        <w:tc>
          <w:tcPr>
            <w:tcW w:w="1317" w:type="pct"/>
            <w:tcBorders>
              <w:top w:val="nil"/>
              <w:left w:val="nil"/>
              <w:bottom w:val="single" w:color="auto" w:sz="4" w:space="0"/>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lp</w:t>
            </w:r>
          </w:p>
        </w:tc>
      </w:tr>
      <w:tr>
        <w:tblPrEx>
          <w:tblCellMar>
            <w:top w:w="0" w:type="dxa"/>
            <w:left w:w="108" w:type="dxa"/>
            <w:bottom w:w="0" w:type="dxa"/>
            <w:right w:w="108" w:type="dxa"/>
          </w:tblCellMar>
        </w:tblPrEx>
        <w:trPr>
          <w:trHeight w:val="90" w:hRule="atLeast"/>
          <w:jc w:val="center"/>
        </w:trPr>
        <w:tc>
          <w:tcPr>
            <w:tcW w:w="1192" w:type="pct"/>
            <w:tcBorders>
              <w:top w:val="single" w:color="auto" w:sz="4" w:space="0"/>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gravity</w:t>
            </w:r>
          </w:p>
        </w:tc>
        <w:tc>
          <w:tcPr>
            <w:tcW w:w="1245"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-0.051*</w:t>
            </w:r>
          </w:p>
        </w:tc>
        <w:tc>
          <w:tcPr>
            <w:tcW w:w="1245"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-0.055**</w:t>
            </w:r>
          </w:p>
        </w:tc>
        <w:tc>
          <w:tcPr>
            <w:tcW w:w="1317"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-0.069**</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(0.027)</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(0.024)</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(0.029)</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bookmarkStart w:id="8" w:name="OLE_LINK15" w:colFirst="0" w:colLast="0"/>
            <w:r>
              <w:rPr>
                <w:rFonts w:ascii="Times New Roman" w:hAnsi="Times New Roman" w:eastAsia="仿宋" w:cs="Times New Roman"/>
                <w:i/>
                <w:kern w:val="0"/>
                <w:sz w:val="15"/>
                <w:szCs w:val="15"/>
              </w:rPr>
              <w:t>age</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-0.192***</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-0.376***</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-0.273***</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(0.036)</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(0.030)</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(0.040)</w:t>
            </w:r>
          </w:p>
        </w:tc>
      </w:tr>
      <w:tr>
        <w:tblPrEx>
          <w:tblCellMar>
            <w:top w:w="0" w:type="dxa"/>
            <w:left w:w="108" w:type="dxa"/>
            <w:bottom w:w="0" w:type="dxa"/>
            <w:right w:w="108" w:type="dxa"/>
          </w:tblCellMar>
        </w:tblPrEx>
        <w:trPr>
          <w:trHeight w:val="90" w:hRule="atLeast"/>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size</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0.609***</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0.205***</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0.563***</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(0.044)</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(0.008)</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(0.044)</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soe</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-0.080</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-0.176***</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-0.071</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(0.069)</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(0.026)</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(0.064)</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kern w:val="0"/>
                <w:sz w:val="15"/>
                <w:szCs w:val="15"/>
              </w:rPr>
              <w:t>klr</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0.824***</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1.368***</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-0.164</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(0.134)</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(0.108)</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(0.299)</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kern w:val="0"/>
                <w:sz w:val="15"/>
                <w:szCs w:val="15"/>
              </w:rPr>
              <w:t>per_industry2</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0.001</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-0.001</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0.003</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(0.003)</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(0.002)</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(0.003)</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kern w:val="0"/>
                <w:sz w:val="15"/>
                <w:szCs w:val="15"/>
              </w:rPr>
              <w:t>Fix_inves</w:t>
            </w:r>
            <w:r>
              <w:rPr>
                <w:rFonts w:ascii="Times New Roman" w:hAnsi="Times New Roman" w:eastAsia="仿宋" w:cs="Times New Roman"/>
                <w:i/>
                <w:iCs/>
                <w:sz w:val="15"/>
                <w:szCs w:val="15"/>
              </w:rPr>
              <w:t>t</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0.046</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0.059**</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-0.017</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(0.046)</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(0.028)</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(0.045)</w:t>
            </w:r>
          </w:p>
        </w:tc>
      </w:tr>
      <w:bookmarkEnd w:id="8"/>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cons</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0.673</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3.208***</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0.003</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(0.998)</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(0.283)</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(0.980)</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企业固定效应</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年份固定效应</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sz w:val="15"/>
                <w:szCs w:val="15"/>
                <w:vertAlign w:val="superscript"/>
              </w:rPr>
            </w:pPr>
            <w:r>
              <w:rPr>
                <w:rFonts w:ascii="Times New Roman" w:hAnsi="Times New Roman" w:eastAsia="仿宋" w:cs="Times New Roman"/>
                <w:sz w:val="15"/>
                <w:szCs w:val="15"/>
              </w:rPr>
              <w:t>R</w:t>
            </w:r>
            <w:r>
              <w:rPr>
                <w:rFonts w:ascii="Times New Roman" w:hAnsi="Times New Roman" w:eastAsia="仿宋" w:cs="Times New Roman"/>
                <w:sz w:val="15"/>
                <w:szCs w:val="15"/>
                <w:vertAlign w:val="superscript"/>
              </w:rPr>
              <w:t>2</w:t>
            </w:r>
          </w:p>
        </w:tc>
        <w:tc>
          <w:tcPr>
            <w:tcW w:w="212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0.663</w:t>
            </w:r>
          </w:p>
        </w:tc>
        <w:tc>
          <w:tcPr>
            <w:tcW w:w="212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0.543</w:t>
            </w:r>
          </w:p>
        </w:tc>
        <w:tc>
          <w:tcPr>
            <w:tcW w:w="2244"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0.650</w:t>
            </w:r>
          </w:p>
        </w:tc>
      </w:tr>
      <w:tr>
        <w:tblPrEx>
          <w:tblCellMar>
            <w:top w:w="0" w:type="dxa"/>
            <w:left w:w="108" w:type="dxa"/>
            <w:bottom w:w="0" w:type="dxa"/>
            <w:right w:w="108" w:type="dxa"/>
          </w:tblCellMar>
        </w:tblPrEx>
        <w:trPr>
          <w:jc w:val="center"/>
        </w:trPr>
        <w:tc>
          <w:tcPr>
            <w:tcW w:w="1192"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N</w:t>
            </w:r>
          </w:p>
        </w:tc>
        <w:tc>
          <w:tcPr>
            <w:tcW w:w="2122"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33,598</w:t>
            </w:r>
          </w:p>
        </w:tc>
        <w:tc>
          <w:tcPr>
            <w:tcW w:w="2122"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33,598</w:t>
            </w:r>
          </w:p>
        </w:tc>
        <w:tc>
          <w:tcPr>
            <w:tcW w:w="2244"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33,598</w:t>
            </w:r>
          </w:p>
        </w:tc>
      </w:tr>
    </w:tbl>
    <w:p>
      <w:pPr>
        <w:rPr>
          <w:rFonts w:ascii="宋体" w:hAnsi="宋体" w:eastAsia="宋体" w:cs="宋体"/>
          <w:szCs w:val="21"/>
        </w:rPr>
      </w:pPr>
    </w:p>
    <w:p>
      <w:pPr>
        <w:ind w:firstLine="420"/>
        <w:rPr>
          <w:rFonts w:ascii="Times New Roman" w:hAnsi="Times New Roman" w:eastAsia="仿宋" w:cs="Times New Roman"/>
          <w:b/>
          <w:bCs/>
          <w:szCs w:val="21"/>
        </w:rPr>
      </w:pPr>
      <w:r>
        <w:rPr>
          <w:rFonts w:hint="eastAsia" w:ascii="宋体" w:hAnsi="宋体" w:eastAsia="宋体" w:cs="宋体"/>
          <w:b/>
          <w:bCs/>
          <w:szCs w:val="21"/>
        </w:rPr>
        <w:t>2.</w:t>
      </w:r>
      <w:r>
        <w:rPr>
          <w:rFonts w:hint="eastAsia" w:ascii="Times New Roman" w:hAnsi="Times New Roman" w:eastAsia="仿宋" w:cs="Times New Roman"/>
          <w:b/>
          <w:bCs/>
          <w:szCs w:val="21"/>
        </w:rPr>
        <w:t>显性</w:t>
      </w:r>
      <w:r>
        <w:rPr>
          <w:rFonts w:ascii="Times New Roman" w:hAnsi="Times New Roman" w:eastAsia="仿宋" w:cs="Times New Roman"/>
          <w:b/>
          <w:bCs/>
          <w:szCs w:val="21"/>
        </w:rPr>
        <w:t>引力的度量</w:t>
      </w:r>
    </w:p>
    <w:p>
      <w:pPr>
        <w:ind w:firstLine="420"/>
        <w:rPr>
          <w:rFonts w:ascii="Times New Roman" w:hAnsi="Times New Roman" w:eastAsia="仿宋" w:cs="Times New Roman"/>
          <w:szCs w:val="21"/>
        </w:rPr>
      </w:pPr>
      <w:r>
        <w:rPr>
          <w:rFonts w:ascii="Times New Roman" w:hAnsi="Times New Roman" w:eastAsia="仿宋" w:cs="Times New Roman"/>
          <w:szCs w:val="21"/>
        </w:rPr>
        <w:t>为了确保核心解释变量刻画的准确性，本文采用多种尺度对</w:t>
      </w:r>
      <w:r>
        <w:rPr>
          <w:rFonts w:hint="eastAsia" w:ascii="Times New Roman" w:hAnsi="Times New Roman" w:eastAsia="仿宋" w:cs="Times New Roman"/>
          <w:szCs w:val="21"/>
        </w:rPr>
        <w:t>显性</w:t>
      </w:r>
      <w:r>
        <w:rPr>
          <w:rFonts w:ascii="Times New Roman" w:hAnsi="Times New Roman" w:eastAsia="仿宋" w:cs="Times New Roman"/>
          <w:szCs w:val="21"/>
        </w:rPr>
        <w:t>体制引力进行了处理。其一，尝试参考奖励结构（劳动力从业报酬）的思路进行量化，关注这一方法在中国制度背景下的解释力。回归的具体做法是以城市级别的国有及国有控股企业员工平均工资减城镇员工平均工资（</w:t>
      </w:r>
      <w:r>
        <w:rPr>
          <w:rFonts w:ascii="Times New Roman" w:hAnsi="Times New Roman" w:eastAsia="仿宋" w:cs="Times New Roman"/>
          <w:i/>
          <w:iCs/>
          <w:szCs w:val="21"/>
        </w:rPr>
        <w:t>gravity_reward</w:t>
      </w:r>
      <w:r>
        <w:rPr>
          <w:rFonts w:ascii="Times New Roman" w:hAnsi="Times New Roman" w:eastAsia="仿宋" w:cs="Times New Roman"/>
          <w:szCs w:val="21"/>
        </w:rPr>
        <w:t>）来刻画体制引力，控制变量与基准回归一致。另外，各城市员工的平均工资数据在部分年份和地区存在缺漏，所以回归样本量有所下降。回归结果如表</w:t>
      </w:r>
      <w:r>
        <w:rPr>
          <w:rFonts w:hint="eastAsia" w:ascii="仿宋" w:hAnsi="仿宋" w:eastAsia="仿宋" w:cs="仿宋"/>
          <w:szCs w:val="21"/>
        </w:rPr>
        <w:t>Ⅲ2</w:t>
      </w:r>
      <w:r>
        <w:rPr>
          <w:rFonts w:ascii="Times New Roman" w:hAnsi="Times New Roman" w:eastAsia="仿宋" w:cs="Times New Roman"/>
          <w:szCs w:val="21"/>
        </w:rPr>
        <w:t>所示，可以发现体制引力</w:t>
      </w:r>
      <w:r>
        <w:rPr>
          <w:rFonts w:hint="eastAsia" w:ascii="Times New Roman" w:hAnsi="Times New Roman" w:eastAsia="仿宋" w:cs="Times New Roman"/>
          <w:szCs w:val="21"/>
        </w:rPr>
        <w:t>的作用效果</w:t>
      </w:r>
      <w:r>
        <w:rPr>
          <w:rFonts w:ascii="Times New Roman" w:hAnsi="Times New Roman" w:eastAsia="仿宋" w:cs="Times New Roman"/>
          <w:szCs w:val="21"/>
        </w:rPr>
        <w:t>与基准回归十分类似，但其估计系数的绝对值却均小于基准回归，也即产生了向下偏误。这为基准回归的稳健性提供了一定的支撑，但这一结果也表明，若以奖励结构（劳动力从业报酬）的思路进行量化，将难以避免地忽略体制部门的其他</w:t>
      </w:r>
      <w:r>
        <w:rPr>
          <w:rFonts w:hint="eastAsia" w:ascii="Times New Roman" w:hAnsi="Times New Roman" w:eastAsia="仿宋" w:cs="Times New Roman"/>
          <w:szCs w:val="21"/>
        </w:rPr>
        <w:t>隐性层面的</w:t>
      </w:r>
      <w:r>
        <w:rPr>
          <w:rFonts w:ascii="Times New Roman" w:hAnsi="Times New Roman" w:eastAsia="仿宋" w:cs="Times New Roman"/>
          <w:szCs w:val="21"/>
        </w:rPr>
        <w:t>比较优势（例如关系网优势、</w:t>
      </w:r>
      <w:r>
        <w:rPr>
          <w:rFonts w:hint="eastAsia" w:ascii="Times New Roman" w:hAnsi="Times New Roman" w:eastAsia="仿宋" w:cs="Times New Roman"/>
          <w:szCs w:val="21"/>
        </w:rPr>
        <w:t>福利和保障优势</w:t>
      </w:r>
      <w:r>
        <w:rPr>
          <w:rFonts w:ascii="Times New Roman" w:hAnsi="Times New Roman" w:eastAsia="仿宋" w:cs="Times New Roman"/>
          <w:szCs w:val="21"/>
        </w:rPr>
        <w:t>等）。这一方面会明显地低估</w:t>
      </w:r>
      <w:r>
        <w:rPr>
          <w:rFonts w:hint="eastAsia" w:ascii="Times New Roman" w:hAnsi="Times New Roman" w:eastAsia="仿宋" w:cs="Times New Roman"/>
          <w:szCs w:val="21"/>
        </w:rPr>
        <w:t>显性</w:t>
      </w:r>
      <w:r>
        <w:rPr>
          <w:rFonts w:ascii="Times New Roman" w:hAnsi="Times New Roman" w:eastAsia="仿宋" w:cs="Times New Roman"/>
          <w:szCs w:val="21"/>
        </w:rPr>
        <w:t>体制引力对企业全要素生产率的抑制作用，另一方面甚至有可能错误地判断体制部门与非体制部门的奖励结构（例如超额报酬优势很大的情形）及其对企业全要素生产率的影响。</w:t>
      </w:r>
    </w:p>
    <w:p>
      <w:pPr>
        <w:ind w:firstLine="420"/>
        <w:rPr>
          <w:rFonts w:ascii="宋体" w:hAnsi="宋体" w:eastAsia="宋体" w:cs="宋体"/>
          <w:szCs w:val="21"/>
        </w:rPr>
      </w:pPr>
    </w:p>
    <w:p>
      <w:pPr>
        <w:jc w:val="center"/>
        <w:rPr>
          <w:rFonts w:ascii="黑体" w:hAnsi="黑体" w:eastAsia="黑体" w:cs="黑体"/>
          <w:sz w:val="18"/>
          <w:szCs w:val="18"/>
        </w:rPr>
      </w:pPr>
      <w:r>
        <w:rPr>
          <w:rFonts w:hint="eastAsia" w:ascii="黑体" w:hAnsi="黑体" w:eastAsia="黑体" w:cs="黑体"/>
          <w:sz w:val="18"/>
          <w:szCs w:val="18"/>
        </w:rPr>
        <w:t>表Ⅲ2  改用劳动力从业报酬思路量化体制引力的回归结果</w:t>
      </w:r>
    </w:p>
    <w:tbl>
      <w:tblPr>
        <w:tblStyle w:val="14"/>
        <w:tblW w:w="4998" w:type="pct"/>
        <w:jc w:val="center"/>
        <w:tblLayout w:type="autofit"/>
        <w:tblCellMar>
          <w:top w:w="0" w:type="dxa"/>
          <w:left w:w="108" w:type="dxa"/>
          <w:bottom w:w="0" w:type="dxa"/>
          <w:right w:w="108" w:type="dxa"/>
        </w:tblCellMar>
      </w:tblPr>
      <w:tblGrid>
        <w:gridCol w:w="2031"/>
        <w:gridCol w:w="2122"/>
        <w:gridCol w:w="2122"/>
        <w:gridCol w:w="2244"/>
      </w:tblGrid>
      <w:tr>
        <w:tblPrEx>
          <w:tblCellMar>
            <w:top w:w="0" w:type="dxa"/>
            <w:left w:w="108" w:type="dxa"/>
            <w:bottom w:w="0" w:type="dxa"/>
            <w:right w:w="108" w:type="dxa"/>
          </w:tblCellMar>
        </w:tblPrEx>
        <w:trPr>
          <w:jc w:val="center"/>
        </w:trPr>
        <w:tc>
          <w:tcPr>
            <w:tcW w:w="1192" w:type="pct"/>
            <w:tcBorders>
              <w:top w:val="single" w:color="auto" w:sz="4" w:space="0"/>
              <w:left w:val="nil"/>
              <w:bottom w:val="nil"/>
              <w:right w:val="nil"/>
            </w:tcBorders>
          </w:tcPr>
          <w:p>
            <w:pPr>
              <w:jc w:val="center"/>
              <w:rPr>
                <w:rFonts w:ascii="Times New Roman" w:hAnsi="Times New Roman" w:eastAsia="仿宋" w:cs="Times New Roman"/>
                <w:sz w:val="15"/>
                <w:szCs w:val="15"/>
              </w:rPr>
            </w:pPr>
          </w:p>
        </w:tc>
        <w:tc>
          <w:tcPr>
            <w:tcW w:w="1245"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w:t>
            </w:r>
          </w:p>
        </w:tc>
        <w:tc>
          <w:tcPr>
            <w:tcW w:w="1245"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（2）</w:t>
            </w:r>
          </w:p>
        </w:tc>
        <w:tc>
          <w:tcPr>
            <w:tcW w:w="1317"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w:t>
            </w:r>
          </w:p>
        </w:tc>
      </w:tr>
      <w:tr>
        <w:tblPrEx>
          <w:tblCellMar>
            <w:top w:w="0" w:type="dxa"/>
            <w:left w:w="108" w:type="dxa"/>
            <w:bottom w:w="0" w:type="dxa"/>
            <w:right w:w="108" w:type="dxa"/>
          </w:tblCellMar>
        </w:tblPrEx>
        <w:trPr>
          <w:jc w:val="center"/>
        </w:trPr>
        <w:tc>
          <w:tcPr>
            <w:tcW w:w="1192"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变量</w:t>
            </w:r>
          </w:p>
        </w:tc>
        <w:tc>
          <w:tcPr>
            <w:tcW w:w="1245" w:type="pct"/>
            <w:tcBorders>
              <w:top w:val="nil"/>
              <w:left w:val="nil"/>
              <w:bottom w:val="single" w:color="auto" w:sz="4" w:space="0"/>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op</w:t>
            </w:r>
          </w:p>
        </w:tc>
        <w:tc>
          <w:tcPr>
            <w:tcW w:w="1245" w:type="pct"/>
            <w:tcBorders>
              <w:top w:val="nil"/>
              <w:left w:val="nil"/>
              <w:bottom w:val="single" w:color="auto" w:sz="4" w:space="0"/>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acf</w:t>
            </w:r>
          </w:p>
        </w:tc>
        <w:tc>
          <w:tcPr>
            <w:tcW w:w="1317" w:type="pct"/>
            <w:tcBorders>
              <w:top w:val="nil"/>
              <w:left w:val="nil"/>
              <w:bottom w:val="single" w:color="auto" w:sz="4" w:space="0"/>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lp</w:t>
            </w:r>
          </w:p>
        </w:tc>
      </w:tr>
      <w:tr>
        <w:tblPrEx>
          <w:tblCellMar>
            <w:top w:w="0" w:type="dxa"/>
            <w:left w:w="108" w:type="dxa"/>
            <w:bottom w:w="0" w:type="dxa"/>
            <w:right w:w="108" w:type="dxa"/>
          </w:tblCellMar>
        </w:tblPrEx>
        <w:trPr>
          <w:jc w:val="center"/>
        </w:trPr>
        <w:tc>
          <w:tcPr>
            <w:tcW w:w="1192" w:type="pct"/>
            <w:tcBorders>
              <w:top w:val="single" w:color="auto" w:sz="4" w:space="0"/>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gravity_reward</w:t>
            </w:r>
          </w:p>
        </w:tc>
        <w:tc>
          <w:tcPr>
            <w:tcW w:w="1245"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-0.035*</w:t>
            </w:r>
          </w:p>
        </w:tc>
        <w:tc>
          <w:tcPr>
            <w:tcW w:w="1245"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-0.035*</w:t>
            </w:r>
          </w:p>
        </w:tc>
        <w:tc>
          <w:tcPr>
            <w:tcW w:w="1317"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-0.035*</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(0.019)</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(0.019)</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(0.019)</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kern w:val="0"/>
                <w:sz w:val="15"/>
                <w:szCs w:val="15"/>
              </w:rPr>
              <w:t>age</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-0.126**</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-0.284***</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-0.272***</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(0.058)</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(0.062)</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(0.062)</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size</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0.142***</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0.308***</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0.239***</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(0.052)</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(0.046)</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(0.046)</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soe</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-0.130</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-0.158</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-0.156</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(0.116)</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(0.118)</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(0.118)</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kern w:val="0"/>
                <w:sz w:val="15"/>
                <w:szCs w:val="15"/>
              </w:rPr>
              <w:t>klr</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1.213***</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0.533**</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0.586***</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(0.207)</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(0.204)</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(0.192)</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kern w:val="0"/>
                <w:sz w:val="15"/>
                <w:szCs w:val="15"/>
              </w:rPr>
              <w:t>per_industry2</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-0.004</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-0.004</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-0.004</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(0.006)</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(0.006)</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(0.006)</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kern w:val="0"/>
                <w:sz w:val="15"/>
                <w:szCs w:val="15"/>
              </w:rPr>
              <w:t>Fix_inves</w:t>
            </w:r>
            <w:r>
              <w:rPr>
                <w:rFonts w:ascii="Times New Roman" w:hAnsi="Times New Roman" w:eastAsia="仿宋" w:cs="Times New Roman"/>
                <w:i/>
                <w:iCs/>
                <w:sz w:val="15"/>
                <w:szCs w:val="15"/>
              </w:rPr>
              <w:t>t</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0.111</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0.068</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0.071</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(0.074)</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(0.074)</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(0.074)</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cons</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12.632***</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10.020***</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10.223***</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(0.521)</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(0.491)</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(0.490)</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企业固定效应</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年份固定效应</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sz w:val="15"/>
                <w:szCs w:val="15"/>
                <w:vertAlign w:val="superscript"/>
              </w:rPr>
            </w:pPr>
            <w:r>
              <w:rPr>
                <w:rFonts w:ascii="Times New Roman" w:hAnsi="Times New Roman" w:eastAsia="仿宋" w:cs="Times New Roman"/>
                <w:sz w:val="15"/>
                <w:szCs w:val="15"/>
              </w:rPr>
              <w:t>R</w:t>
            </w:r>
            <w:r>
              <w:rPr>
                <w:rFonts w:ascii="Times New Roman" w:hAnsi="Times New Roman" w:eastAsia="仿宋" w:cs="Times New Roman"/>
                <w:sz w:val="15"/>
                <w:szCs w:val="15"/>
                <w:vertAlign w:val="superscript"/>
              </w:rPr>
              <w:t>2</w:t>
            </w:r>
          </w:p>
        </w:tc>
        <w:tc>
          <w:tcPr>
            <w:tcW w:w="212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0.648</w:t>
            </w:r>
          </w:p>
        </w:tc>
        <w:tc>
          <w:tcPr>
            <w:tcW w:w="212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0.596</w:t>
            </w:r>
          </w:p>
        </w:tc>
        <w:tc>
          <w:tcPr>
            <w:tcW w:w="2244"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0.647</w:t>
            </w:r>
          </w:p>
        </w:tc>
      </w:tr>
      <w:tr>
        <w:tblPrEx>
          <w:tblCellMar>
            <w:top w:w="0" w:type="dxa"/>
            <w:left w:w="108" w:type="dxa"/>
            <w:bottom w:w="0" w:type="dxa"/>
            <w:right w:w="108" w:type="dxa"/>
          </w:tblCellMar>
        </w:tblPrEx>
        <w:trPr>
          <w:jc w:val="center"/>
        </w:trPr>
        <w:tc>
          <w:tcPr>
            <w:tcW w:w="1192"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N</w:t>
            </w:r>
          </w:p>
        </w:tc>
        <w:tc>
          <w:tcPr>
            <w:tcW w:w="2122"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17,640</w:t>
            </w:r>
          </w:p>
        </w:tc>
        <w:tc>
          <w:tcPr>
            <w:tcW w:w="2122"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17,640</w:t>
            </w:r>
          </w:p>
        </w:tc>
        <w:tc>
          <w:tcPr>
            <w:tcW w:w="2244"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17,640</w:t>
            </w:r>
          </w:p>
        </w:tc>
      </w:tr>
    </w:tbl>
    <w:p>
      <w:pPr>
        <w:ind w:firstLine="420"/>
        <w:rPr>
          <w:rFonts w:ascii="Times New Roman" w:hAnsi="Times New Roman" w:eastAsia="仿宋" w:cs="Times New Roman"/>
          <w:szCs w:val="21"/>
        </w:rPr>
      </w:pPr>
    </w:p>
    <w:p>
      <w:pPr>
        <w:ind w:firstLine="420"/>
        <w:rPr>
          <w:rFonts w:ascii="Times New Roman" w:hAnsi="Times New Roman" w:eastAsia="仿宋" w:cs="Times New Roman"/>
          <w:szCs w:val="21"/>
        </w:rPr>
      </w:pPr>
      <w:r>
        <w:rPr>
          <w:rFonts w:ascii="Times New Roman" w:hAnsi="Times New Roman" w:eastAsia="仿宋" w:cs="Times New Roman"/>
          <w:szCs w:val="21"/>
        </w:rPr>
        <w:t>其二，在基准回归中</w:t>
      </w:r>
      <w:r>
        <w:rPr>
          <w:rFonts w:hint="eastAsia" w:ascii="Times New Roman" w:hAnsi="Times New Roman" w:eastAsia="仿宋" w:cs="Times New Roman"/>
          <w:szCs w:val="21"/>
        </w:rPr>
        <w:t>，</w:t>
      </w:r>
      <w:r>
        <w:rPr>
          <w:rFonts w:ascii="Times New Roman" w:hAnsi="Times New Roman" w:eastAsia="仿宋" w:cs="Times New Roman"/>
          <w:szCs w:val="21"/>
        </w:rPr>
        <w:t>本文使用主成分分析法对体制引力进行赋权计算，</w:t>
      </w:r>
      <w:r>
        <w:rPr>
          <w:rFonts w:hint="eastAsia" w:ascii="Times New Roman" w:hAnsi="Times New Roman" w:eastAsia="仿宋" w:cs="Times New Roman"/>
          <w:szCs w:val="21"/>
        </w:rPr>
        <w:t>为了检验度量方法的可靠性，</w:t>
      </w:r>
      <w:r>
        <w:rPr>
          <w:rFonts w:ascii="Times New Roman" w:hAnsi="Times New Roman" w:eastAsia="仿宋" w:cs="Times New Roman"/>
          <w:szCs w:val="21"/>
        </w:rPr>
        <w:t>以下</w:t>
      </w:r>
      <w:r>
        <w:rPr>
          <w:rFonts w:hint="eastAsia" w:ascii="Times New Roman" w:hAnsi="Times New Roman" w:eastAsia="仿宋" w:cs="Times New Roman"/>
          <w:szCs w:val="21"/>
        </w:rPr>
        <w:t>改为</w:t>
      </w:r>
      <w:r>
        <w:rPr>
          <w:rFonts w:ascii="Times New Roman" w:hAnsi="Times New Roman" w:eastAsia="仿宋" w:cs="Times New Roman"/>
          <w:szCs w:val="21"/>
        </w:rPr>
        <w:t>使用熵权法</w:t>
      </w:r>
      <w:r>
        <w:rPr>
          <w:rFonts w:hint="eastAsia" w:ascii="Times New Roman" w:hAnsi="Times New Roman" w:eastAsia="仿宋" w:cs="Times New Roman"/>
          <w:szCs w:val="21"/>
        </w:rPr>
        <w:t>来计算显性</w:t>
      </w:r>
      <w:r>
        <w:rPr>
          <w:rFonts w:ascii="Times New Roman" w:hAnsi="Times New Roman" w:eastAsia="仿宋" w:cs="Times New Roman"/>
          <w:szCs w:val="21"/>
        </w:rPr>
        <w:t>体制引力指标，并重新进行回归。表</w:t>
      </w:r>
      <w:r>
        <w:rPr>
          <w:rFonts w:hint="eastAsia" w:ascii="仿宋" w:hAnsi="仿宋" w:eastAsia="仿宋" w:cs="仿宋"/>
          <w:szCs w:val="21"/>
        </w:rPr>
        <w:t>Ⅲ3</w:t>
      </w:r>
      <w:r>
        <w:rPr>
          <w:rFonts w:ascii="Times New Roman" w:hAnsi="Times New Roman" w:eastAsia="仿宋" w:cs="Times New Roman"/>
          <w:szCs w:val="21"/>
        </w:rPr>
        <w:t>第（1）-（4）列的回归结果表明，</w:t>
      </w:r>
      <w:r>
        <w:rPr>
          <w:rFonts w:hint="eastAsia" w:ascii="Times New Roman" w:hAnsi="Times New Roman" w:eastAsia="仿宋" w:cs="Times New Roman"/>
          <w:szCs w:val="21"/>
        </w:rPr>
        <w:t>显性</w:t>
      </w:r>
      <w:r>
        <w:rPr>
          <w:rFonts w:ascii="Times New Roman" w:hAnsi="Times New Roman" w:eastAsia="仿宋" w:cs="Times New Roman"/>
          <w:szCs w:val="21"/>
        </w:rPr>
        <w:t>体制引力的估计系数仍旧为负，且至少在10%水平上显著，回归结果都与基准回归相似。</w:t>
      </w:r>
    </w:p>
    <w:p>
      <w:pPr>
        <w:ind w:firstLine="420"/>
        <w:rPr>
          <w:rFonts w:ascii="Times New Roman" w:hAnsi="Times New Roman" w:eastAsia="仿宋" w:cs="Times New Roman"/>
          <w:szCs w:val="21"/>
        </w:rPr>
      </w:pPr>
    </w:p>
    <w:p>
      <w:pPr>
        <w:jc w:val="center"/>
        <w:rPr>
          <w:rFonts w:ascii="黑体" w:hAnsi="黑体" w:eastAsia="黑体" w:cs="黑体"/>
          <w:sz w:val="18"/>
          <w:szCs w:val="18"/>
        </w:rPr>
      </w:pPr>
      <w:r>
        <w:rPr>
          <w:rFonts w:hint="eastAsia" w:ascii="黑体" w:hAnsi="黑体" w:eastAsia="黑体" w:cs="黑体"/>
          <w:sz w:val="18"/>
          <w:szCs w:val="18"/>
        </w:rPr>
        <w:t>表Ⅲ3  改用熵权法度量体制引力的回归结果</w:t>
      </w:r>
    </w:p>
    <w:tbl>
      <w:tblPr>
        <w:tblStyle w:val="14"/>
        <w:tblW w:w="4998" w:type="pct"/>
        <w:jc w:val="center"/>
        <w:tblLayout w:type="autofit"/>
        <w:tblCellMar>
          <w:top w:w="0" w:type="dxa"/>
          <w:left w:w="108" w:type="dxa"/>
          <w:bottom w:w="0" w:type="dxa"/>
          <w:right w:w="108" w:type="dxa"/>
        </w:tblCellMar>
      </w:tblPr>
      <w:tblGrid>
        <w:gridCol w:w="2032"/>
        <w:gridCol w:w="2120"/>
        <w:gridCol w:w="2122"/>
        <w:gridCol w:w="2245"/>
      </w:tblGrid>
      <w:tr>
        <w:tblPrEx>
          <w:tblCellMar>
            <w:top w:w="0" w:type="dxa"/>
            <w:left w:w="108" w:type="dxa"/>
            <w:bottom w:w="0" w:type="dxa"/>
            <w:right w:w="108" w:type="dxa"/>
          </w:tblCellMar>
        </w:tblPrEx>
        <w:trPr>
          <w:jc w:val="center"/>
        </w:trPr>
        <w:tc>
          <w:tcPr>
            <w:tcW w:w="1192" w:type="pct"/>
            <w:tcBorders>
              <w:top w:val="single" w:color="auto" w:sz="4" w:space="0"/>
              <w:left w:val="nil"/>
              <w:bottom w:val="nil"/>
              <w:right w:val="nil"/>
            </w:tcBorders>
          </w:tcPr>
          <w:p>
            <w:pPr>
              <w:jc w:val="center"/>
              <w:rPr>
                <w:rFonts w:ascii="Times New Roman" w:hAnsi="Times New Roman" w:eastAsia="仿宋" w:cs="Times New Roman"/>
                <w:sz w:val="15"/>
                <w:szCs w:val="15"/>
              </w:rPr>
            </w:pPr>
          </w:p>
        </w:tc>
        <w:tc>
          <w:tcPr>
            <w:tcW w:w="1244"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w:t>
            </w:r>
          </w:p>
        </w:tc>
        <w:tc>
          <w:tcPr>
            <w:tcW w:w="1245"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（2）</w:t>
            </w:r>
          </w:p>
        </w:tc>
        <w:tc>
          <w:tcPr>
            <w:tcW w:w="1317"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w:t>
            </w:r>
          </w:p>
        </w:tc>
      </w:tr>
      <w:tr>
        <w:tblPrEx>
          <w:tblCellMar>
            <w:top w:w="0" w:type="dxa"/>
            <w:left w:w="108" w:type="dxa"/>
            <w:bottom w:w="0" w:type="dxa"/>
            <w:right w:w="108" w:type="dxa"/>
          </w:tblCellMar>
        </w:tblPrEx>
        <w:trPr>
          <w:jc w:val="center"/>
        </w:trPr>
        <w:tc>
          <w:tcPr>
            <w:tcW w:w="1192"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变量</w:t>
            </w:r>
          </w:p>
        </w:tc>
        <w:tc>
          <w:tcPr>
            <w:tcW w:w="1244" w:type="pct"/>
            <w:tcBorders>
              <w:top w:val="nil"/>
              <w:left w:val="nil"/>
              <w:bottom w:val="single" w:color="auto" w:sz="4" w:space="0"/>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op</w:t>
            </w:r>
          </w:p>
        </w:tc>
        <w:tc>
          <w:tcPr>
            <w:tcW w:w="1245" w:type="pct"/>
            <w:tcBorders>
              <w:top w:val="nil"/>
              <w:left w:val="nil"/>
              <w:bottom w:val="single" w:color="auto" w:sz="4" w:space="0"/>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acf</w:t>
            </w:r>
          </w:p>
        </w:tc>
        <w:tc>
          <w:tcPr>
            <w:tcW w:w="1317" w:type="pct"/>
            <w:tcBorders>
              <w:top w:val="nil"/>
              <w:left w:val="nil"/>
              <w:bottom w:val="single" w:color="auto" w:sz="4" w:space="0"/>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lp</w:t>
            </w:r>
          </w:p>
        </w:tc>
      </w:tr>
      <w:tr>
        <w:tblPrEx>
          <w:tblCellMar>
            <w:top w:w="0" w:type="dxa"/>
            <w:left w:w="108" w:type="dxa"/>
            <w:bottom w:w="0" w:type="dxa"/>
            <w:right w:w="108" w:type="dxa"/>
          </w:tblCellMar>
        </w:tblPrEx>
        <w:trPr>
          <w:jc w:val="center"/>
        </w:trPr>
        <w:tc>
          <w:tcPr>
            <w:tcW w:w="1192" w:type="pct"/>
            <w:tcBorders>
              <w:top w:val="single" w:color="auto" w:sz="4" w:space="0"/>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gravity</w:t>
            </w:r>
          </w:p>
        </w:tc>
        <w:tc>
          <w:tcPr>
            <w:tcW w:w="1244"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-0.013*</w:t>
            </w:r>
          </w:p>
        </w:tc>
        <w:tc>
          <w:tcPr>
            <w:tcW w:w="1245"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-0.016**</w:t>
            </w:r>
          </w:p>
        </w:tc>
        <w:tc>
          <w:tcPr>
            <w:tcW w:w="1317"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-0.013*</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(0.007)</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(0.007)</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(0.007)</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kern w:val="0"/>
                <w:sz w:val="15"/>
                <w:szCs w:val="15"/>
              </w:rPr>
              <w:t>age</w:t>
            </w:r>
          </w:p>
        </w:tc>
        <w:tc>
          <w:tcPr>
            <w:tcW w:w="124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-0.170***</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-0.311***</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-0.237***</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(0.027)</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(0.030)</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(0.028)</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size</w:t>
            </w:r>
          </w:p>
        </w:tc>
        <w:tc>
          <w:tcPr>
            <w:tcW w:w="124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0.600***</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0.172***</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0.547***</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(0.008)</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(0.008)</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(0.008)</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soe</w:t>
            </w:r>
          </w:p>
        </w:tc>
        <w:tc>
          <w:tcPr>
            <w:tcW w:w="124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-0.067***</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-0.160***</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-0.058**</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(0.023)</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(0.026)</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(0.024)</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kern w:val="0"/>
                <w:sz w:val="15"/>
                <w:szCs w:val="15"/>
              </w:rPr>
              <w:t>klr</w:t>
            </w:r>
          </w:p>
        </w:tc>
        <w:tc>
          <w:tcPr>
            <w:tcW w:w="124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0.907***</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1.442***</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-0.058</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(0.098)</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(0.108)</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(0.100)</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kern w:val="0"/>
                <w:sz w:val="15"/>
                <w:szCs w:val="15"/>
              </w:rPr>
              <w:t>per_industry2</w:t>
            </w:r>
          </w:p>
        </w:tc>
        <w:tc>
          <w:tcPr>
            <w:tcW w:w="124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0.002</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0.001</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0.004**</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(0.002)</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(0.002)</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(0.002)</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kern w:val="0"/>
                <w:sz w:val="15"/>
                <w:szCs w:val="15"/>
              </w:rPr>
              <w:t>Fix_inves</w:t>
            </w:r>
            <w:r>
              <w:rPr>
                <w:rFonts w:ascii="Times New Roman" w:hAnsi="Times New Roman" w:eastAsia="仿宋" w:cs="Times New Roman"/>
                <w:i/>
                <w:iCs/>
                <w:sz w:val="15"/>
                <w:szCs w:val="15"/>
              </w:rPr>
              <w:t>t</w:t>
            </w:r>
          </w:p>
        </w:tc>
        <w:tc>
          <w:tcPr>
            <w:tcW w:w="124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0.047*</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0.064**</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-0.009</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(0.025)</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(0.027)</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(0.026)</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cons</w:t>
            </w:r>
          </w:p>
        </w:tc>
        <w:tc>
          <w:tcPr>
            <w:tcW w:w="124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0.685***</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3.525***</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0.015</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(0.249)</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(0.274)</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(0.255)</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企业固定效应</w:t>
            </w:r>
          </w:p>
        </w:tc>
        <w:tc>
          <w:tcPr>
            <w:tcW w:w="124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年份固定效应</w:t>
            </w:r>
          </w:p>
        </w:tc>
        <w:tc>
          <w:tcPr>
            <w:tcW w:w="124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r>
      <w:tr>
        <w:tblPrEx>
          <w:tblCellMar>
            <w:top w:w="0" w:type="dxa"/>
            <w:left w:w="108" w:type="dxa"/>
            <w:bottom w:w="0" w:type="dxa"/>
            <w:right w:w="108" w:type="dxa"/>
          </w:tblCellMar>
        </w:tblPrEx>
        <w:trPr>
          <w:jc w:val="center"/>
        </w:trPr>
        <w:tc>
          <w:tcPr>
            <w:tcW w:w="1192" w:type="pct"/>
            <w:tcBorders>
              <w:top w:val="nil"/>
              <w:left w:val="nil"/>
              <w:bottom w:val="nil"/>
              <w:right w:val="nil"/>
            </w:tcBorders>
          </w:tcPr>
          <w:p>
            <w:pPr>
              <w:jc w:val="center"/>
              <w:rPr>
                <w:rFonts w:ascii="Times New Roman" w:hAnsi="Times New Roman" w:eastAsia="仿宋" w:cs="Times New Roman"/>
                <w:sz w:val="15"/>
                <w:szCs w:val="15"/>
                <w:vertAlign w:val="superscript"/>
              </w:rPr>
            </w:pPr>
            <w:r>
              <w:rPr>
                <w:rFonts w:ascii="Times New Roman" w:hAnsi="Times New Roman" w:eastAsia="仿宋" w:cs="Times New Roman"/>
                <w:sz w:val="15"/>
                <w:szCs w:val="15"/>
              </w:rPr>
              <w:t>R</w:t>
            </w:r>
            <w:r>
              <w:rPr>
                <w:rFonts w:ascii="Times New Roman" w:hAnsi="Times New Roman" w:eastAsia="仿宋" w:cs="Times New Roman"/>
                <w:sz w:val="15"/>
                <w:szCs w:val="15"/>
                <w:vertAlign w:val="superscript"/>
              </w:rPr>
              <w:t>2</w:t>
            </w:r>
          </w:p>
        </w:tc>
        <w:tc>
          <w:tcPr>
            <w:tcW w:w="212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0.672</w:t>
            </w:r>
          </w:p>
        </w:tc>
        <w:tc>
          <w:tcPr>
            <w:tcW w:w="212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0.562</w:t>
            </w:r>
          </w:p>
        </w:tc>
        <w:tc>
          <w:tcPr>
            <w:tcW w:w="2245"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0.660</w:t>
            </w:r>
          </w:p>
        </w:tc>
      </w:tr>
      <w:tr>
        <w:tblPrEx>
          <w:tblCellMar>
            <w:top w:w="0" w:type="dxa"/>
            <w:left w:w="108" w:type="dxa"/>
            <w:bottom w:w="0" w:type="dxa"/>
            <w:right w:w="108" w:type="dxa"/>
          </w:tblCellMar>
        </w:tblPrEx>
        <w:trPr>
          <w:jc w:val="center"/>
        </w:trPr>
        <w:tc>
          <w:tcPr>
            <w:tcW w:w="1192"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N</w:t>
            </w:r>
          </w:p>
        </w:tc>
        <w:tc>
          <w:tcPr>
            <w:tcW w:w="2120"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33,598</w:t>
            </w:r>
          </w:p>
        </w:tc>
        <w:tc>
          <w:tcPr>
            <w:tcW w:w="2122"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33,598</w:t>
            </w:r>
          </w:p>
        </w:tc>
        <w:tc>
          <w:tcPr>
            <w:tcW w:w="2245"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33,598</w:t>
            </w:r>
          </w:p>
        </w:tc>
      </w:tr>
    </w:tbl>
    <w:p>
      <w:pPr>
        <w:ind w:firstLine="420"/>
        <w:rPr>
          <w:rFonts w:ascii="Times New Roman" w:hAnsi="Times New Roman" w:eastAsia="仿宋" w:cs="Times New Roman"/>
          <w:sz w:val="15"/>
          <w:szCs w:val="15"/>
        </w:rPr>
      </w:pPr>
    </w:p>
    <w:p>
      <w:pPr>
        <w:ind w:firstLine="420"/>
        <w:rPr>
          <w:rFonts w:ascii="Times New Roman" w:hAnsi="Times New Roman" w:eastAsia="仿宋" w:cs="Times New Roman"/>
          <w:szCs w:val="21"/>
        </w:rPr>
      </w:pPr>
      <w:r>
        <w:rPr>
          <w:rFonts w:ascii="Times New Roman" w:hAnsi="Times New Roman" w:eastAsia="仿宋" w:cs="Times New Roman"/>
          <w:szCs w:val="21"/>
        </w:rPr>
        <w:t>其三，</w:t>
      </w:r>
      <w:r>
        <w:rPr>
          <w:rFonts w:hint="eastAsia" w:ascii="Times New Roman" w:hAnsi="Times New Roman" w:eastAsia="仿宋" w:cs="Times New Roman"/>
          <w:szCs w:val="21"/>
        </w:rPr>
        <w:t>Acemoglu（1995）指出，奖励结构具有历史依赖性，即当期的奖励结构很有可能由过去的历史因素影响。与之相关，体制引力也具有类似性质，例如，家长在培养孩子时，受到当期体制引力的影响，潜移默化地对孩子灌输未来进入体制部门从业的思想，从而影响了未来劳动市场的配置格局。因此，本文认为显性体制引力的作用过程具有一定的滞后性和连续性特征，为了证明这一点，我们</w:t>
      </w:r>
      <w:r>
        <w:rPr>
          <w:rFonts w:ascii="Times New Roman" w:hAnsi="Times New Roman" w:eastAsia="仿宋" w:cs="Times New Roman"/>
          <w:szCs w:val="21"/>
        </w:rPr>
        <w:t>分别将</w:t>
      </w:r>
      <w:r>
        <w:rPr>
          <w:rFonts w:hint="eastAsia" w:ascii="Times New Roman" w:hAnsi="Times New Roman" w:eastAsia="仿宋" w:cs="Times New Roman"/>
          <w:szCs w:val="21"/>
        </w:rPr>
        <w:t>显性</w:t>
      </w:r>
      <w:r>
        <w:rPr>
          <w:rFonts w:ascii="Times New Roman" w:hAnsi="Times New Roman" w:eastAsia="仿宋" w:cs="Times New Roman"/>
          <w:szCs w:val="21"/>
        </w:rPr>
        <w:t>体制引力取滞后和采用移动平均法计算后再进行回归。表</w:t>
      </w:r>
      <w:r>
        <w:rPr>
          <w:rFonts w:hint="eastAsia" w:ascii="仿宋" w:hAnsi="仿宋" w:eastAsia="仿宋" w:cs="仿宋"/>
          <w:szCs w:val="21"/>
        </w:rPr>
        <w:t>Ⅲ4</w:t>
      </w:r>
      <w:r>
        <w:rPr>
          <w:rFonts w:ascii="Times New Roman" w:hAnsi="Times New Roman" w:eastAsia="仿宋" w:cs="Times New Roman"/>
          <w:szCs w:val="21"/>
        </w:rPr>
        <w:t>第（1）-（3）列的回归结果表明，</w:t>
      </w:r>
      <w:r>
        <w:rPr>
          <w:rFonts w:hint="eastAsia" w:ascii="Times New Roman" w:hAnsi="Times New Roman" w:eastAsia="仿宋" w:cs="Times New Roman"/>
          <w:szCs w:val="21"/>
        </w:rPr>
        <w:t>显性</w:t>
      </w:r>
      <w:r>
        <w:rPr>
          <w:rFonts w:ascii="Times New Roman" w:hAnsi="Times New Roman" w:eastAsia="仿宋" w:cs="Times New Roman"/>
          <w:szCs w:val="21"/>
        </w:rPr>
        <w:t>体制引力的估计系数均为负，</w:t>
      </w:r>
      <w:r>
        <w:rPr>
          <w:rFonts w:hint="eastAsia" w:ascii="Times New Roman" w:hAnsi="Times New Roman" w:eastAsia="仿宋" w:cs="Times New Roman"/>
          <w:szCs w:val="21"/>
        </w:rPr>
        <w:t>除</w:t>
      </w:r>
      <w:r>
        <w:rPr>
          <w:rFonts w:ascii="Times New Roman" w:hAnsi="Times New Roman" w:eastAsia="仿宋" w:cs="Times New Roman"/>
          <w:szCs w:val="21"/>
        </w:rPr>
        <w:t>滞后一期外均</w:t>
      </w:r>
      <w:r>
        <w:rPr>
          <w:rFonts w:hint="eastAsia" w:ascii="Times New Roman" w:hAnsi="Times New Roman" w:eastAsia="仿宋" w:cs="Times New Roman"/>
          <w:szCs w:val="21"/>
        </w:rPr>
        <w:t>至少</w:t>
      </w:r>
      <w:r>
        <w:rPr>
          <w:rFonts w:ascii="Times New Roman" w:hAnsi="Times New Roman" w:eastAsia="仿宋" w:cs="Times New Roman"/>
          <w:szCs w:val="21"/>
        </w:rPr>
        <w:t>在5%水平上显著，并且</w:t>
      </w:r>
      <w:r>
        <w:rPr>
          <w:rFonts w:hint="eastAsia" w:ascii="Times New Roman" w:hAnsi="Times New Roman" w:eastAsia="仿宋" w:cs="Times New Roman"/>
          <w:szCs w:val="21"/>
        </w:rPr>
        <w:t>显性</w:t>
      </w:r>
      <w:r>
        <w:rPr>
          <w:rFonts w:ascii="Times New Roman" w:hAnsi="Times New Roman" w:eastAsia="仿宋" w:cs="Times New Roman"/>
          <w:szCs w:val="21"/>
        </w:rPr>
        <w:t>体制引力的抑制作用随滞后阶数的增大而增大。</w:t>
      </w:r>
      <w:r>
        <w:rPr>
          <w:rFonts w:hint="eastAsia" w:ascii="Times New Roman" w:hAnsi="Times New Roman" w:eastAsia="仿宋" w:cs="Times New Roman"/>
          <w:szCs w:val="21"/>
        </w:rPr>
        <w:t>与此同时，</w:t>
      </w:r>
      <w:r>
        <w:rPr>
          <w:rFonts w:ascii="Times New Roman" w:hAnsi="Times New Roman" w:eastAsia="仿宋" w:cs="Times New Roman"/>
          <w:szCs w:val="21"/>
        </w:rPr>
        <w:t>第（4）-（5）列的回归结果</w:t>
      </w:r>
      <w:r>
        <w:rPr>
          <w:rFonts w:hint="eastAsia" w:ascii="Times New Roman" w:hAnsi="Times New Roman" w:eastAsia="仿宋" w:cs="Times New Roman"/>
          <w:szCs w:val="21"/>
        </w:rPr>
        <w:t>也显示，采用愈大阶数的移动平均来计算体制引力，其对企业全要素生产率的抑制作用愈强。这些结果都证明了体制引力作用过程的滞后和连续性特征，但是，这并没有影响基线结果的稳健性。</w:t>
      </w:r>
    </w:p>
    <w:p>
      <w:pPr>
        <w:ind w:firstLine="420"/>
        <w:rPr>
          <w:rFonts w:ascii="Times New Roman" w:hAnsi="Times New Roman" w:eastAsia="仿宋" w:cs="Times New Roman"/>
          <w:szCs w:val="21"/>
        </w:rPr>
      </w:pPr>
    </w:p>
    <w:p>
      <w:pPr>
        <w:jc w:val="center"/>
        <w:rPr>
          <w:rFonts w:ascii="黑体" w:hAnsi="黑体" w:eastAsia="黑体" w:cs="黑体"/>
          <w:sz w:val="18"/>
          <w:szCs w:val="18"/>
        </w:rPr>
      </w:pPr>
      <w:r>
        <w:rPr>
          <w:rFonts w:hint="eastAsia" w:ascii="黑体" w:hAnsi="黑体" w:eastAsia="黑体" w:cs="黑体"/>
          <w:sz w:val="18"/>
          <w:szCs w:val="18"/>
        </w:rPr>
        <w:t>表Ⅲ4  体制引力取滞后或取移动平均后的回归结果</w:t>
      </w:r>
    </w:p>
    <w:tbl>
      <w:tblPr>
        <w:tblStyle w:val="14"/>
        <w:tblW w:w="5000" w:type="pct"/>
        <w:jc w:val="center"/>
        <w:tblLayout w:type="autofit"/>
        <w:tblCellMar>
          <w:top w:w="0" w:type="dxa"/>
          <w:left w:w="108" w:type="dxa"/>
          <w:bottom w:w="0" w:type="dxa"/>
          <w:right w:w="108" w:type="dxa"/>
        </w:tblCellMar>
      </w:tblPr>
      <w:tblGrid>
        <w:gridCol w:w="1330"/>
        <w:gridCol w:w="1388"/>
        <w:gridCol w:w="1388"/>
        <w:gridCol w:w="1472"/>
        <w:gridCol w:w="1472"/>
        <w:gridCol w:w="1472"/>
      </w:tblGrid>
      <w:tr>
        <w:tblPrEx>
          <w:tblCellMar>
            <w:top w:w="0" w:type="dxa"/>
            <w:left w:w="108" w:type="dxa"/>
            <w:bottom w:w="0" w:type="dxa"/>
            <w:right w:w="108" w:type="dxa"/>
          </w:tblCellMar>
        </w:tblPrEx>
        <w:trPr>
          <w:jc w:val="center"/>
        </w:trPr>
        <w:tc>
          <w:tcPr>
            <w:tcW w:w="780" w:type="pct"/>
            <w:tcBorders>
              <w:top w:val="single" w:color="auto" w:sz="4" w:space="0"/>
              <w:left w:val="nil"/>
              <w:bottom w:val="nil"/>
              <w:right w:val="nil"/>
            </w:tcBorders>
          </w:tcPr>
          <w:p>
            <w:pPr>
              <w:jc w:val="center"/>
              <w:rPr>
                <w:rFonts w:ascii="Times New Roman" w:hAnsi="Times New Roman" w:eastAsia="仿宋" w:cs="Times New Roman"/>
                <w:sz w:val="15"/>
                <w:szCs w:val="15"/>
              </w:rPr>
            </w:pPr>
          </w:p>
        </w:tc>
        <w:tc>
          <w:tcPr>
            <w:tcW w:w="814"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w:t>
            </w:r>
          </w:p>
        </w:tc>
        <w:tc>
          <w:tcPr>
            <w:tcW w:w="814"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（2）</w:t>
            </w:r>
          </w:p>
        </w:tc>
        <w:tc>
          <w:tcPr>
            <w:tcW w:w="863"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w:t>
            </w:r>
          </w:p>
        </w:tc>
        <w:tc>
          <w:tcPr>
            <w:tcW w:w="863"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（4）</w:t>
            </w:r>
          </w:p>
        </w:tc>
        <w:tc>
          <w:tcPr>
            <w:tcW w:w="863"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（5）</w:t>
            </w:r>
          </w:p>
        </w:tc>
      </w:tr>
      <w:tr>
        <w:tblPrEx>
          <w:tblCellMar>
            <w:top w:w="0" w:type="dxa"/>
            <w:left w:w="108" w:type="dxa"/>
            <w:bottom w:w="0" w:type="dxa"/>
            <w:right w:w="108" w:type="dxa"/>
          </w:tblCellMar>
        </w:tblPrEx>
        <w:trPr>
          <w:jc w:val="center"/>
        </w:trPr>
        <w:tc>
          <w:tcPr>
            <w:tcW w:w="780"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处理方法</w:t>
            </w:r>
          </w:p>
        </w:tc>
        <w:tc>
          <w:tcPr>
            <w:tcW w:w="814"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滞后一期</w:t>
            </w:r>
          </w:p>
        </w:tc>
        <w:tc>
          <w:tcPr>
            <w:tcW w:w="814"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滞后二期</w:t>
            </w:r>
          </w:p>
        </w:tc>
        <w:tc>
          <w:tcPr>
            <w:tcW w:w="863"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滞后三期</w:t>
            </w:r>
          </w:p>
        </w:tc>
        <w:tc>
          <w:tcPr>
            <w:tcW w:w="863"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三年移动平均</w:t>
            </w:r>
          </w:p>
        </w:tc>
        <w:tc>
          <w:tcPr>
            <w:tcW w:w="863"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五年移动平均</w:t>
            </w:r>
          </w:p>
        </w:tc>
      </w:tr>
      <w:tr>
        <w:tblPrEx>
          <w:tblCellMar>
            <w:top w:w="0" w:type="dxa"/>
            <w:left w:w="108" w:type="dxa"/>
            <w:bottom w:w="0" w:type="dxa"/>
            <w:right w:w="108" w:type="dxa"/>
          </w:tblCellMar>
        </w:tblPrEx>
        <w:trPr>
          <w:jc w:val="center"/>
        </w:trPr>
        <w:tc>
          <w:tcPr>
            <w:tcW w:w="780" w:type="pct"/>
            <w:tcBorders>
              <w:top w:val="single" w:color="auto" w:sz="4" w:space="0"/>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L.gravity</w:t>
            </w:r>
          </w:p>
        </w:tc>
        <w:tc>
          <w:tcPr>
            <w:tcW w:w="814"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-0.048</w:t>
            </w:r>
          </w:p>
        </w:tc>
        <w:tc>
          <w:tcPr>
            <w:tcW w:w="814" w:type="pct"/>
            <w:tcBorders>
              <w:top w:val="single" w:color="auto" w:sz="4" w:space="0"/>
              <w:left w:val="nil"/>
              <w:bottom w:val="nil"/>
              <w:right w:val="nil"/>
            </w:tcBorders>
          </w:tcPr>
          <w:p>
            <w:pPr>
              <w:jc w:val="center"/>
              <w:rPr>
                <w:rFonts w:ascii="Times New Roman" w:hAnsi="Times New Roman" w:eastAsia="仿宋" w:cs="Times New Roman"/>
                <w:sz w:val="15"/>
                <w:szCs w:val="15"/>
              </w:rPr>
            </w:pPr>
          </w:p>
        </w:tc>
        <w:tc>
          <w:tcPr>
            <w:tcW w:w="863" w:type="pct"/>
            <w:tcBorders>
              <w:top w:val="single" w:color="auto" w:sz="4" w:space="0"/>
              <w:left w:val="nil"/>
              <w:bottom w:val="nil"/>
              <w:right w:val="nil"/>
            </w:tcBorders>
          </w:tcPr>
          <w:p>
            <w:pPr>
              <w:jc w:val="center"/>
              <w:rPr>
                <w:rFonts w:ascii="Times New Roman" w:hAnsi="Times New Roman" w:eastAsia="仿宋" w:cs="Times New Roman"/>
                <w:sz w:val="15"/>
                <w:szCs w:val="15"/>
              </w:rPr>
            </w:pPr>
          </w:p>
        </w:tc>
        <w:tc>
          <w:tcPr>
            <w:tcW w:w="863" w:type="pct"/>
            <w:tcBorders>
              <w:top w:val="single" w:color="auto" w:sz="4" w:space="0"/>
              <w:left w:val="nil"/>
              <w:bottom w:val="nil"/>
              <w:right w:val="nil"/>
            </w:tcBorders>
          </w:tcPr>
          <w:p>
            <w:pPr>
              <w:jc w:val="center"/>
              <w:rPr>
                <w:rFonts w:ascii="Times New Roman" w:hAnsi="Times New Roman" w:eastAsia="仿宋" w:cs="Times New Roman"/>
                <w:sz w:val="15"/>
                <w:szCs w:val="15"/>
              </w:rPr>
            </w:pPr>
          </w:p>
        </w:tc>
        <w:tc>
          <w:tcPr>
            <w:tcW w:w="863" w:type="pct"/>
            <w:tcBorders>
              <w:top w:val="single" w:color="auto" w:sz="4" w:space="0"/>
              <w:left w:val="nil"/>
              <w:bottom w:val="nil"/>
              <w:right w:val="nil"/>
            </w:tcBorders>
          </w:tcPr>
          <w:p>
            <w:pPr>
              <w:jc w:val="center"/>
              <w:rPr>
                <w:rFonts w:ascii="Times New Roman" w:hAnsi="Times New Roman" w:eastAsia="仿宋" w:cs="Times New Roman"/>
                <w:sz w:val="15"/>
                <w:szCs w:val="15"/>
              </w:rPr>
            </w:pPr>
          </w:p>
        </w:tc>
      </w:tr>
      <w:tr>
        <w:tblPrEx>
          <w:tblCellMar>
            <w:top w:w="0" w:type="dxa"/>
            <w:left w:w="108" w:type="dxa"/>
            <w:bottom w:w="0" w:type="dxa"/>
            <w:right w:w="108" w:type="dxa"/>
          </w:tblCellMar>
        </w:tblPrEx>
        <w:trPr>
          <w:jc w:val="center"/>
        </w:trPr>
        <w:tc>
          <w:tcPr>
            <w:tcW w:w="780" w:type="pct"/>
            <w:tcBorders>
              <w:top w:val="nil"/>
              <w:left w:val="nil"/>
              <w:bottom w:val="nil"/>
              <w:right w:val="nil"/>
            </w:tcBorders>
          </w:tcPr>
          <w:p>
            <w:pPr>
              <w:jc w:val="center"/>
              <w:rPr>
                <w:rFonts w:ascii="Times New Roman" w:hAnsi="Times New Roman" w:eastAsia="仿宋" w:cs="Times New Roman"/>
                <w:i/>
                <w:iCs/>
                <w:sz w:val="15"/>
                <w:szCs w:val="15"/>
              </w:rPr>
            </w:pP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(0.030)</w:t>
            </w:r>
          </w:p>
        </w:tc>
        <w:tc>
          <w:tcPr>
            <w:tcW w:w="814" w:type="pct"/>
            <w:tcBorders>
              <w:top w:val="nil"/>
              <w:left w:val="nil"/>
              <w:bottom w:val="nil"/>
              <w:right w:val="nil"/>
            </w:tcBorders>
          </w:tcPr>
          <w:p>
            <w:pPr>
              <w:jc w:val="center"/>
              <w:rPr>
                <w:rFonts w:ascii="Times New Roman" w:hAnsi="Times New Roman" w:eastAsia="仿宋" w:cs="Times New Roman"/>
                <w:sz w:val="15"/>
                <w:szCs w:val="15"/>
              </w:rPr>
            </w:pPr>
          </w:p>
        </w:tc>
        <w:tc>
          <w:tcPr>
            <w:tcW w:w="863" w:type="pct"/>
            <w:tcBorders>
              <w:top w:val="nil"/>
              <w:left w:val="nil"/>
              <w:bottom w:val="nil"/>
              <w:right w:val="nil"/>
            </w:tcBorders>
          </w:tcPr>
          <w:p>
            <w:pPr>
              <w:jc w:val="center"/>
              <w:rPr>
                <w:rFonts w:ascii="Times New Roman" w:hAnsi="Times New Roman" w:eastAsia="仿宋" w:cs="Times New Roman"/>
                <w:sz w:val="15"/>
                <w:szCs w:val="15"/>
              </w:rPr>
            </w:pPr>
          </w:p>
        </w:tc>
        <w:tc>
          <w:tcPr>
            <w:tcW w:w="863" w:type="pct"/>
            <w:tcBorders>
              <w:top w:val="nil"/>
              <w:left w:val="nil"/>
              <w:bottom w:val="nil"/>
              <w:right w:val="nil"/>
            </w:tcBorders>
          </w:tcPr>
          <w:p>
            <w:pPr>
              <w:jc w:val="center"/>
              <w:rPr>
                <w:rFonts w:ascii="Times New Roman" w:hAnsi="Times New Roman" w:eastAsia="仿宋" w:cs="Times New Roman"/>
                <w:sz w:val="15"/>
                <w:szCs w:val="15"/>
              </w:rPr>
            </w:pPr>
          </w:p>
        </w:tc>
        <w:tc>
          <w:tcPr>
            <w:tcW w:w="863" w:type="pct"/>
            <w:tcBorders>
              <w:top w:val="nil"/>
              <w:left w:val="nil"/>
              <w:bottom w:val="nil"/>
              <w:right w:val="nil"/>
            </w:tcBorders>
          </w:tcPr>
          <w:p>
            <w:pPr>
              <w:jc w:val="center"/>
              <w:rPr>
                <w:rFonts w:ascii="Times New Roman" w:hAnsi="Times New Roman" w:eastAsia="仿宋" w:cs="Times New Roman"/>
                <w:sz w:val="15"/>
                <w:szCs w:val="15"/>
              </w:rPr>
            </w:pPr>
          </w:p>
        </w:tc>
      </w:tr>
      <w:tr>
        <w:tblPrEx>
          <w:tblCellMar>
            <w:top w:w="0" w:type="dxa"/>
            <w:left w:w="108" w:type="dxa"/>
            <w:bottom w:w="0" w:type="dxa"/>
            <w:right w:w="108" w:type="dxa"/>
          </w:tblCellMar>
        </w:tblPrEx>
        <w:trPr>
          <w:jc w:val="center"/>
        </w:trPr>
        <w:tc>
          <w:tcPr>
            <w:tcW w:w="780"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L2.gravity</w:t>
            </w:r>
          </w:p>
        </w:tc>
        <w:tc>
          <w:tcPr>
            <w:tcW w:w="814" w:type="pct"/>
            <w:tcBorders>
              <w:top w:val="nil"/>
              <w:left w:val="nil"/>
              <w:bottom w:val="nil"/>
              <w:right w:val="nil"/>
            </w:tcBorders>
          </w:tcPr>
          <w:p>
            <w:pPr>
              <w:jc w:val="center"/>
              <w:rPr>
                <w:rFonts w:ascii="Times New Roman" w:hAnsi="Times New Roman" w:eastAsia="仿宋" w:cs="Times New Roman"/>
                <w:sz w:val="15"/>
                <w:szCs w:val="15"/>
              </w:rPr>
            </w:pP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-0.069***</w:t>
            </w:r>
          </w:p>
        </w:tc>
        <w:tc>
          <w:tcPr>
            <w:tcW w:w="863" w:type="pct"/>
            <w:tcBorders>
              <w:top w:val="nil"/>
              <w:left w:val="nil"/>
              <w:bottom w:val="nil"/>
              <w:right w:val="nil"/>
            </w:tcBorders>
          </w:tcPr>
          <w:p>
            <w:pPr>
              <w:jc w:val="center"/>
              <w:rPr>
                <w:rFonts w:ascii="Times New Roman" w:hAnsi="Times New Roman" w:eastAsia="仿宋" w:cs="Times New Roman"/>
                <w:sz w:val="15"/>
                <w:szCs w:val="15"/>
              </w:rPr>
            </w:pPr>
          </w:p>
        </w:tc>
        <w:tc>
          <w:tcPr>
            <w:tcW w:w="863" w:type="pct"/>
            <w:tcBorders>
              <w:top w:val="nil"/>
              <w:left w:val="nil"/>
              <w:bottom w:val="nil"/>
              <w:right w:val="nil"/>
            </w:tcBorders>
          </w:tcPr>
          <w:p>
            <w:pPr>
              <w:jc w:val="center"/>
              <w:rPr>
                <w:rFonts w:ascii="Times New Roman" w:hAnsi="Times New Roman" w:eastAsia="仿宋" w:cs="Times New Roman"/>
                <w:sz w:val="15"/>
                <w:szCs w:val="15"/>
              </w:rPr>
            </w:pPr>
          </w:p>
        </w:tc>
        <w:tc>
          <w:tcPr>
            <w:tcW w:w="863" w:type="pct"/>
            <w:tcBorders>
              <w:top w:val="nil"/>
              <w:left w:val="nil"/>
              <w:bottom w:val="nil"/>
              <w:right w:val="nil"/>
            </w:tcBorders>
          </w:tcPr>
          <w:p>
            <w:pPr>
              <w:jc w:val="center"/>
              <w:rPr>
                <w:rFonts w:ascii="Times New Roman" w:hAnsi="Times New Roman" w:eastAsia="仿宋" w:cs="Times New Roman"/>
                <w:sz w:val="15"/>
                <w:szCs w:val="15"/>
              </w:rPr>
            </w:pPr>
          </w:p>
        </w:tc>
      </w:tr>
      <w:tr>
        <w:tblPrEx>
          <w:tblCellMar>
            <w:top w:w="0" w:type="dxa"/>
            <w:left w:w="108" w:type="dxa"/>
            <w:bottom w:w="0" w:type="dxa"/>
            <w:right w:w="108" w:type="dxa"/>
          </w:tblCellMar>
        </w:tblPrEx>
        <w:trPr>
          <w:jc w:val="center"/>
        </w:trPr>
        <w:tc>
          <w:tcPr>
            <w:tcW w:w="780" w:type="pct"/>
            <w:tcBorders>
              <w:top w:val="nil"/>
              <w:left w:val="nil"/>
              <w:bottom w:val="nil"/>
              <w:right w:val="nil"/>
            </w:tcBorders>
          </w:tcPr>
          <w:p>
            <w:pPr>
              <w:jc w:val="center"/>
              <w:rPr>
                <w:rFonts w:ascii="Times New Roman" w:hAnsi="Times New Roman" w:eastAsia="仿宋" w:cs="Times New Roman"/>
                <w:i/>
                <w:iCs/>
                <w:sz w:val="15"/>
                <w:szCs w:val="15"/>
              </w:rPr>
            </w:pPr>
          </w:p>
        </w:tc>
        <w:tc>
          <w:tcPr>
            <w:tcW w:w="814" w:type="pct"/>
            <w:tcBorders>
              <w:top w:val="nil"/>
              <w:left w:val="nil"/>
              <w:bottom w:val="nil"/>
              <w:right w:val="nil"/>
            </w:tcBorders>
          </w:tcPr>
          <w:p>
            <w:pPr>
              <w:jc w:val="center"/>
              <w:rPr>
                <w:rFonts w:ascii="Times New Roman" w:hAnsi="Times New Roman" w:eastAsia="仿宋" w:cs="Times New Roman"/>
                <w:sz w:val="15"/>
                <w:szCs w:val="15"/>
              </w:rPr>
            </w:pP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(0.025)</w:t>
            </w:r>
          </w:p>
        </w:tc>
        <w:tc>
          <w:tcPr>
            <w:tcW w:w="863" w:type="pct"/>
            <w:tcBorders>
              <w:top w:val="nil"/>
              <w:left w:val="nil"/>
              <w:bottom w:val="nil"/>
              <w:right w:val="nil"/>
            </w:tcBorders>
          </w:tcPr>
          <w:p>
            <w:pPr>
              <w:jc w:val="center"/>
              <w:rPr>
                <w:rFonts w:ascii="Times New Roman" w:hAnsi="Times New Roman" w:eastAsia="仿宋" w:cs="Times New Roman"/>
                <w:sz w:val="15"/>
                <w:szCs w:val="15"/>
              </w:rPr>
            </w:pPr>
          </w:p>
        </w:tc>
        <w:tc>
          <w:tcPr>
            <w:tcW w:w="863" w:type="pct"/>
            <w:tcBorders>
              <w:top w:val="nil"/>
              <w:left w:val="nil"/>
              <w:bottom w:val="nil"/>
              <w:right w:val="nil"/>
            </w:tcBorders>
          </w:tcPr>
          <w:p>
            <w:pPr>
              <w:jc w:val="center"/>
              <w:rPr>
                <w:rFonts w:ascii="Times New Roman" w:hAnsi="Times New Roman" w:eastAsia="仿宋" w:cs="Times New Roman"/>
                <w:sz w:val="15"/>
                <w:szCs w:val="15"/>
              </w:rPr>
            </w:pPr>
          </w:p>
        </w:tc>
        <w:tc>
          <w:tcPr>
            <w:tcW w:w="863" w:type="pct"/>
            <w:tcBorders>
              <w:top w:val="nil"/>
              <w:left w:val="nil"/>
              <w:bottom w:val="nil"/>
              <w:right w:val="nil"/>
            </w:tcBorders>
          </w:tcPr>
          <w:p>
            <w:pPr>
              <w:jc w:val="center"/>
              <w:rPr>
                <w:rFonts w:ascii="Times New Roman" w:hAnsi="Times New Roman" w:eastAsia="仿宋" w:cs="Times New Roman"/>
                <w:sz w:val="15"/>
                <w:szCs w:val="15"/>
              </w:rPr>
            </w:pPr>
          </w:p>
        </w:tc>
      </w:tr>
      <w:tr>
        <w:tblPrEx>
          <w:tblCellMar>
            <w:top w:w="0" w:type="dxa"/>
            <w:left w:w="108" w:type="dxa"/>
            <w:bottom w:w="0" w:type="dxa"/>
            <w:right w:w="108" w:type="dxa"/>
          </w:tblCellMar>
        </w:tblPrEx>
        <w:trPr>
          <w:jc w:val="center"/>
        </w:trPr>
        <w:tc>
          <w:tcPr>
            <w:tcW w:w="780"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L3.gravity</w:t>
            </w:r>
          </w:p>
        </w:tc>
        <w:tc>
          <w:tcPr>
            <w:tcW w:w="814" w:type="pct"/>
            <w:tcBorders>
              <w:top w:val="nil"/>
              <w:left w:val="nil"/>
              <w:bottom w:val="nil"/>
              <w:right w:val="nil"/>
            </w:tcBorders>
          </w:tcPr>
          <w:p>
            <w:pPr>
              <w:jc w:val="center"/>
              <w:rPr>
                <w:rFonts w:ascii="Times New Roman" w:hAnsi="Times New Roman" w:eastAsia="仿宋" w:cs="Times New Roman"/>
                <w:sz w:val="15"/>
                <w:szCs w:val="15"/>
              </w:rPr>
            </w:pPr>
          </w:p>
        </w:tc>
        <w:tc>
          <w:tcPr>
            <w:tcW w:w="814" w:type="pct"/>
            <w:tcBorders>
              <w:top w:val="nil"/>
              <w:left w:val="nil"/>
              <w:bottom w:val="nil"/>
              <w:right w:val="nil"/>
            </w:tcBorders>
          </w:tcPr>
          <w:p>
            <w:pPr>
              <w:jc w:val="center"/>
              <w:rPr>
                <w:rFonts w:ascii="Times New Roman" w:hAnsi="Times New Roman" w:eastAsia="仿宋" w:cs="Times New Roman"/>
                <w:sz w:val="15"/>
                <w:szCs w:val="15"/>
              </w:rPr>
            </w:pPr>
          </w:p>
        </w:tc>
        <w:tc>
          <w:tcPr>
            <w:tcW w:w="8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-0.073**</w:t>
            </w:r>
          </w:p>
        </w:tc>
        <w:tc>
          <w:tcPr>
            <w:tcW w:w="863" w:type="pct"/>
            <w:tcBorders>
              <w:top w:val="nil"/>
              <w:left w:val="nil"/>
              <w:bottom w:val="nil"/>
              <w:right w:val="nil"/>
            </w:tcBorders>
          </w:tcPr>
          <w:p>
            <w:pPr>
              <w:jc w:val="center"/>
              <w:rPr>
                <w:rFonts w:ascii="Times New Roman" w:hAnsi="Times New Roman" w:eastAsia="仿宋" w:cs="Times New Roman"/>
                <w:sz w:val="15"/>
                <w:szCs w:val="15"/>
              </w:rPr>
            </w:pPr>
          </w:p>
        </w:tc>
        <w:tc>
          <w:tcPr>
            <w:tcW w:w="863" w:type="pct"/>
            <w:tcBorders>
              <w:top w:val="nil"/>
              <w:left w:val="nil"/>
              <w:bottom w:val="nil"/>
              <w:right w:val="nil"/>
            </w:tcBorders>
          </w:tcPr>
          <w:p>
            <w:pPr>
              <w:jc w:val="center"/>
              <w:rPr>
                <w:rFonts w:ascii="Times New Roman" w:hAnsi="Times New Roman" w:eastAsia="仿宋" w:cs="Times New Roman"/>
                <w:sz w:val="15"/>
                <w:szCs w:val="15"/>
              </w:rPr>
            </w:pPr>
          </w:p>
        </w:tc>
      </w:tr>
      <w:tr>
        <w:tblPrEx>
          <w:tblCellMar>
            <w:top w:w="0" w:type="dxa"/>
            <w:left w:w="108" w:type="dxa"/>
            <w:bottom w:w="0" w:type="dxa"/>
            <w:right w:w="108" w:type="dxa"/>
          </w:tblCellMar>
        </w:tblPrEx>
        <w:trPr>
          <w:jc w:val="center"/>
        </w:trPr>
        <w:tc>
          <w:tcPr>
            <w:tcW w:w="780" w:type="pct"/>
            <w:tcBorders>
              <w:top w:val="nil"/>
              <w:left w:val="nil"/>
              <w:bottom w:val="nil"/>
              <w:right w:val="nil"/>
            </w:tcBorders>
          </w:tcPr>
          <w:p>
            <w:pPr>
              <w:jc w:val="center"/>
              <w:rPr>
                <w:rFonts w:ascii="Times New Roman" w:hAnsi="Times New Roman" w:eastAsia="仿宋" w:cs="Times New Roman"/>
                <w:i/>
                <w:iCs/>
                <w:sz w:val="15"/>
                <w:szCs w:val="15"/>
              </w:rPr>
            </w:pPr>
          </w:p>
        </w:tc>
        <w:tc>
          <w:tcPr>
            <w:tcW w:w="814" w:type="pct"/>
            <w:tcBorders>
              <w:top w:val="nil"/>
              <w:left w:val="nil"/>
              <w:bottom w:val="nil"/>
              <w:right w:val="nil"/>
            </w:tcBorders>
          </w:tcPr>
          <w:p>
            <w:pPr>
              <w:jc w:val="center"/>
              <w:rPr>
                <w:rFonts w:ascii="Times New Roman" w:hAnsi="Times New Roman" w:eastAsia="仿宋" w:cs="Times New Roman"/>
                <w:sz w:val="15"/>
                <w:szCs w:val="15"/>
              </w:rPr>
            </w:pPr>
          </w:p>
        </w:tc>
        <w:tc>
          <w:tcPr>
            <w:tcW w:w="814" w:type="pct"/>
            <w:tcBorders>
              <w:top w:val="nil"/>
              <w:left w:val="nil"/>
              <w:bottom w:val="nil"/>
              <w:right w:val="nil"/>
            </w:tcBorders>
          </w:tcPr>
          <w:p>
            <w:pPr>
              <w:jc w:val="center"/>
              <w:rPr>
                <w:rFonts w:ascii="Times New Roman" w:hAnsi="Times New Roman" w:eastAsia="仿宋" w:cs="Times New Roman"/>
                <w:sz w:val="15"/>
                <w:szCs w:val="15"/>
              </w:rPr>
            </w:pPr>
          </w:p>
        </w:tc>
        <w:tc>
          <w:tcPr>
            <w:tcW w:w="8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(0.031)</w:t>
            </w:r>
          </w:p>
        </w:tc>
        <w:tc>
          <w:tcPr>
            <w:tcW w:w="863" w:type="pct"/>
            <w:tcBorders>
              <w:top w:val="nil"/>
              <w:left w:val="nil"/>
              <w:bottom w:val="nil"/>
              <w:right w:val="nil"/>
            </w:tcBorders>
          </w:tcPr>
          <w:p>
            <w:pPr>
              <w:jc w:val="center"/>
              <w:rPr>
                <w:rFonts w:ascii="Times New Roman" w:hAnsi="Times New Roman" w:eastAsia="仿宋" w:cs="Times New Roman"/>
                <w:sz w:val="15"/>
                <w:szCs w:val="15"/>
              </w:rPr>
            </w:pPr>
          </w:p>
        </w:tc>
        <w:tc>
          <w:tcPr>
            <w:tcW w:w="863" w:type="pct"/>
            <w:tcBorders>
              <w:top w:val="nil"/>
              <w:left w:val="nil"/>
              <w:bottom w:val="nil"/>
              <w:right w:val="nil"/>
            </w:tcBorders>
          </w:tcPr>
          <w:p>
            <w:pPr>
              <w:jc w:val="center"/>
              <w:rPr>
                <w:rFonts w:ascii="Times New Roman" w:hAnsi="Times New Roman" w:eastAsia="仿宋" w:cs="Times New Roman"/>
                <w:sz w:val="15"/>
                <w:szCs w:val="15"/>
              </w:rPr>
            </w:pPr>
          </w:p>
        </w:tc>
      </w:tr>
      <w:tr>
        <w:tblPrEx>
          <w:tblCellMar>
            <w:top w:w="0" w:type="dxa"/>
            <w:left w:w="108" w:type="dxa"/>
            <w:bottom w:w="0" w:type="dxa"/>
            <w:right w:w="108" w:type="dxa"/>
          </w:tblCellMar>
        </w:tblPrEx>
        <w:trPr>
          <w:jc w:val="center"/>
        </w:trPr>
        <w:tc>
          <w:tcPr>
            <w:tcW w:w="780"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gravity_3year</w:t>
            </w:r>
          </w:p>
        </w:tc>
        <w:tc>
          <w:tcPr>
            <w:tcW w:w="814" w:type="pct"/>
            <w:tcBorders>
              <w:top w:val="nil"/>
              <w:left w:val="nil"/>
              <w:bottom w:val="nil"/>
              <w:right w:val="nil"/>
            </w:tcBorders>
          </w:tcPr>
          <w:p>
            <w:pPr>
              <w:jc w:val="center"/>
              <w:rPr>
                <w:rFonts w:ascii="Times New Roman" w:hAnsi="Times New Roman" w:eastAsia="仿宋" w:cs="Times New Roman"/>
                <w:sz w:val="15"/>
                <w:szCs w:val="15"/>
              </w:rPr>
            </w:pPr>
          </w:p>
        </w:tc>
        <w:tc>
          <w:tcPr>
            <w:tcW w:w="814" w:type="pct"/>
            <w:tcBorders>
              <w:top w:val="nil"/>
              <w:left w:val="nil"/>
              <w:bottom w:val="nil"/>
              <w:right w:val="nil"/>
            </w:tcBorders>
          </w:tcPr>
          <w:p>
            <w:pPr>
              <w:jc w:val="center"/>
              <w:rPr>
                <w:rFonts w:ascii="Times New Roman" w:hAnsi="Times New Roman" w:eastAsia="仿宋" w:cs="Times New Roman"/>
                <w:sz w:val="15"/>
                <w:szCs w:val="15"/>
              </w:rPr>
            </w:pPr>
          </w:p>
        </w:tc>
        <w:tc>
          <w:tcPr>
            <w:tcW w:w="863" w:type="pct"/>
            <w:tcBorders>
              <w:top w:val="nil"/>
              <w:left w:val="nil"/>
              <w:bottom w:val="nil"/>
              <w:right w:val="nil"/>
            </w:tcBorders>
          </w:tcPr>
          <w:p>
            <w:pPr>
              <w:jc w:val="center"/>
              <w:rPr>
                <w:rFonts w:ascii="Times New Roman" w:hAnsi="Times New Roman" w:eastAsia="仿宋" w:cs="Times New Roman"/>
                <w:sz w:val="15"/>
                <w:szCs w:val="15"/>
              </w:rPr>
            </w:pP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-0.075**</w:t>
            </w:r>
          </w:p>
        </w:tc>
        <w:tc>
          <w:tcPr>
            <w:tcW w:w="863" w:type="pct"/>
            <w:tcBorders>
              <w:top w:val="nil"/>
              <w:left w:val="nil"/>
              <w:bottom w:val="nil"/>
              <w:right w:val="nil"/>
            </w:tcBorders>
          </w:tcPr>
          <w:p>
            <w:pPr>
              <w:jc w:val="center"/>
              <w:rPr>
                <w:rFonts w:ascii="Times New Roman" w:hAnsi="Times New Roman" w:eastAsia="仿宋" w:cs="Times New Roman"/>
                <w:sz w:val="15"/>
                <w:szCs w:val="15"/>
              </w:rPr>
            </w:pPr>
          </w:p>
        </w:tc>
      </w:tr>
      <w:tr>
        <w:tblPrEx>
          <w:tblCellMar>
            <w:top w:w="0" w:type="dxa"/>
            <w:left w:w="108" w:type="dxa"/>
            <w:bottom w:w="0" w:type="dxa"/>
            <w:right w:w="108" w:type="dxa"/>
          </w:tblCellMar>
        </w:tblPrEx>
        <w:trPr>
          <w:jc w:val="center"/>
        </w:trPr>
        <w:tc>
          <w:tcPr>
            <w:tcW w:w="780" w:type="pct"/>
            <w:tcBorders>
              <w:top w:val="nil"/>
              <w:left w:val="nil"/>
              <w:bottom w:val="nil"/>
              <w:right w:val="nil"/>
            </w:tcBorders>
          </w:tcPr>
          <w:p>
            <w:pPr>
              <w:jc w:val="center"/>
              <w:rPr>
                <w:rFonts w:ascii="Times New Roman" w:hAnsi="Times New Roman" w:eastAsia="仿宋" w:cs="Times New Roman"/>
                <w:i/>
                <w:iCs/>
                <w:sz w:val="15"/>
                <w:szCs w:val="15"/>
              </w:rPr>
            </w:pPr>
          </w:p>
        </w:tc>
        <w:tc>
          <w:tcPr>
            <w:tcW w:w="814" w:type="pct"/>
            <w:tcBorders>
              <w:top w:val="nil"/>
              <w:left w:val="nil"/>
              <w:bottom w:val="nil"/>
              <w:right w:val="nil"/>
            </w:tcBorders>
          </w:tcPr>
          <w:p>
            <w:pPr>
              <w:jc w:val="center"/>
              <w:rPr>
                <w:rFonts w:ascii="Times New Roman" w:hAnsi="Times New Roman" w:eastAsia="仿宋" w:cs="Times New Roman"/>
                <w:sz w:val="15"/>
                <w:szCs w:val="15"/>
              </w:rPr>
            </w:pPr>
          </w:p>
        </w:tc>
        <w:tc>
          <w:tcPr>
            <w:tcW w:w="814" w:type="pct"/>
            <w:tcBorders>
              <w:top w:val="nil"/>
              <w:left w:val="nil"/>
              <w:bottom w:val="nil"/>
              <w:right w:val="nil"/>
            </w:tcBorders>
          </w:tcPr>
          <w:p>
            <w:pPr>
              <w:jc w:val="center"/>
              <w:rPr>
                <w:rFonts w:ascii="Times New Roman" w:hAnsi="Times New Roman" w:eastAsia="仿宋" w:cs="Times New Roman"/>
                <w:sz w:val="15"/>
                <w:szCs w:val="15"/>
              </w:rPr>
            </w:pPr>
          </w:p>
        </w:tc>
        <w:tc>
          <w:tcPr>
            <w:tcW w:w="863" w:type="pct"/>
            <w:tcBorders>
              <w:top w:val="nil"/>
              <w:left w:val="nil"/>
              <w:bottom w:val="nil"/>
              <w:right w:val="nil"/>
            </w:tcBorders>
          </w:tcPr>
          <w:p>
            <w:pPr>
              <w:jc w:val="center"/>
              <w:rPr>
                <w:rFonts w:ascii="Times New Roman" w:hAnsi="Times New Roman" w:eastAsia="仿宋" w:cs="Times New Roman"/>
                <w:sz w:val="15"/>
                <w:szCs w:val="15"/>
              </w:rPr>
            </w:pP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(0.036)</w:t>
            </w:r>
          </w:p>
        </w:tc>
        <w:tc>
          <w:tcPr>
            <w:tcW w:w="863" w:type="pct"/>
            <w:tcBorders>
              <w:top w:val="nil"/>
              <w:left w:val="nil"/>
              <w:bottom w:val="nil"/>
              <w:right w:val="nil"/>
            </w:tcBorders>
          </w:tcPr>
          <w:p>
            <w:pPr>
              <w:jc w:val="center"/>
              <w:rPr>
                <w:rFonts w:ascii="Times New Roman" w:hAnsi="Times New Roman" w:eastAsia="仿宋" w:cs="Times New Roman"/>
                <w:sz w:val="15"/>
                <w:szCs w:val="15"/>
              </w:rPr>
            </w:pPr>
          </w:p>
        </w:tc>
      </w:tr>
      <w:tr>
        <w:tblPrEx>
          <w:tblCellMar>
            <w:top w:w="0" w:type="dxa"/>
            <w:left w:w="108" w:type="dxa"/>
            <w:bottom w:w="0" w:type="dxa"/>
            <w:right w:w="108" w:type="dxa"/>
          </w:tblCellMar>
        </w:tblPrEx>
        <w:trPr>
          <w:jc w:val="center"/>
        </w:trPr>
        <w:tc>
          <w:tcPr>
            <w:tcW w:w="780"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gravity_5year</w:t>
            </w:r>
          </w:p>
        </w:tc>
        <w:tc>
          <w:tcPr>
            <w:tcW w:w="814" w:type="pct"/>
            <w:tcBorders>
              <w:top w:val="nil"/>
              <w:left w:val="nil"/>
              <w:bottom w:val="nil"/>
              <w:right w:val="nil"/>
            </w:tcBorders>
          </w:tcPr>
          <w:p>
            <w:pPr>
              <w:jc w:val="center"/>
              <w:rPr>
                <w:rFonts w:ascii="Times New Roman" w:hAnsi="Times New Roman" w:eastAsia="仿宋" w:cs="Times New Roman"/>
                <w:sz w:val="15"/>
                <w:szCs w:val="15"/>
              </w:rPr>
            </w:pPr>
          </w:p>
        </w:tc>
        <w:tc>
          <w:tcPr>
            <w:tcW w:w="814" w:type="pct"/>
            <w:tcBorders>
              <w:top w:val="nil"/>
              <w:left w:val="nil"/>
              <w:bottom w:val="nil"/>
              <w:right w:val="nil"/>
            </w:tcBorders>
          </w:tcPr>
          <w:p>
            <w:pPr>
              <w:jc w:val="center"/>
              <w:rPr>
                <w:rFonts w:ascii="Times New Roman" w:hAnsi="Times New Roman" w:eastAsia="仿宋" w:cs="Times New Roman"/>
                <w:sz w:val="15"/>
                <w:szCs w:val="15"/>
              </w:rPr>
            </w:pPr>
          </w:p>
        </w:tc>
        <w:tc>
          <w:tcPr>
            <w:tcW w:w="863" w:type="pct"/>
            <w:tcBorders>
              <w:top w:val="nil"/>
              <w:left w:val="nil"/>
              <w:bottom w:val="nil"/>
              <w:right w:val="nil"/>
            </w:tcBorders>
          </w:tcPr>
          <w:p>
            <w:pPr>
              <w:jc w:val="center"/>
              <w:rPr>
                <w:rFonts w:ascii="Times New Roman" w:hAnsi="Times New Roman" w:eastAsia="仿宋" w:cs="Times New Roman"/>
                <w:sz w:val="15"/>
                <w:szCs w:val="15"/>
              </w:rPr>
            </w:pPr>
          </w:p>
        </w:tc>
        <w:tc>
          <w:tcPr>
            <w:tcW w:w="863" w:type="pct"/>
            <w:tcBorders>
              <w:top w:val="nil"/>
              <w:left w:val="nil"/>
              <w:bottom w:val="nil"/>
              <w:right w:val="nil"/>
            </w:tcBorders>
          </w:tcPr>
          <w:p>
            <w:pPr>
              <w:jc w:val="center"/>
              <w:rPr>
                <w:rFonts w:ascii="Times New Roman" w:hAnsi="Times New Roman" w:eastAsia="仿宋" w:cs="Times New Roman"/>
                <w:sz w:val="15"/>
                <w:szCs w:val="15"/>
              </w:rPr>
            </w:pP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-0.089**</w:t>
            </w:r>
          </w:p>
        </w:tc>
      </w:tr>
      <w:tr>
        <w:tblPrEx>
          <w:tblCellMar>
            <w:top w:w="0" w:type="dxa"/>
            <w:left w:w="108" w:type="dxa"/>
            <w:bottom w:w="0" w:type="dxa"/>
            <w:right w:w="108" w:type="dxa"/>
          </w:tblCellMar>
        </w:tblPrEx>
        <w:trPr>
          <w:jc w:val="center"/>
        </w:trPr>
        <w:tc>
          <w:tcPr>
            <w:tcW w:w="780" w:type="pct"/>
            <w:tcBorders>
              <w:top w:val="nil"/>
              <w:left w:val="nil"/>
              <w:bottom w:val="nil"/>
              <w:right w:val="nil"/>
            </w:tcBorders>
          </w:tcPr>
          <w:p>
            <w:pPr>
              <w:jc w:val="center"/>
              <w:rPr>
                <w:rFonts w:ascii="Times New Roman" w:hAnsi="Times New Roman" w:eastAsia="仿宋" w:cs="Times New Roman"/>
                <w:i/>
                <w:iCs/>
                <w:sz w:val="15"/>
                <w:szCs w:val="15"/>
              </w:rPr>
            </w:pPr>
          </w:p>
        </w:tc>
        <w:tc>
          <w:tcPr>
            <w:tcW w:w="814" w:type="pct"/>
            <w:tcBorders>
              <w:top w:val="nil"/>
              <w:left w:val="nil"/>
              <w:bottom w:val="nil"/>
              <w:right w:val="nil"/>
            </w:tcBorders>
          </w:tcPr>
          <w:p>
            <w:pPr>
              <w:jc w:val="center"/>
              <w:rPr>
                <w:rFonts w:ascii="Times New Roman" w:hAnsi="Times New Roman" w:eastAsia="仿宋" w:cs="Times New Roman"/>
                <w:sz w:val="15"/>
                <w:szCs w:val="15"/>
              </w:rPr>
            </w:pPr>
          </w:p>
        </w:tc>
        <w:tc>
          <w:tcPr>
            <w:tcW w:w="814" w:type="pct"/>
            <w:tcBorders>
              <w:top w:val="nil"/>
              <w:left w:val="nil"/>
              <w:bottom w:val="nil"/>
              <w:right w:val="nil"/>
            </w:tcBorders>
          </w:tcPr>
          <w:p>
            <w:pPr>
              <w:jc w:val="center"/>
              <w:rPr>
                <w:rFonts w:ascii="Times New Roman" w:hAnsi="Times New Roman" w:eastAsia="仿宋" w:cs="Times New Roman"/>
                <w:sz w:val="15"/>
                <w:szCs w:val="15"/>
              </w:rPr>
            </w:pPr>
          </w:p>
        </w:tc>
        <w:tc>
          <w:tcPr>
            <w:tcW w:w="863" w:type="pct"/>
            <w:tcBorders>
              <w:top w:val="nil"/>
              <w:left w:val="nil"/>
              <w:bottom w:val="nil"/>
              <w:right w:val="nil"/>
            </w:tcBorders>
          </w:tcPr>
          <w:p>
            <w:pPr>
              <w:jc w:val="center"/>
              <w:rPr>
                <w:rFonts w:ascii="Times New Roman" w:hAnsi="Times New Roman" w:eastAsia="仿宋" w:cs="Times New Roman"/>
                <w:sz w:val="15"/>
                <w:szCs w:val="15"/>
              </w:rPr>
            </w:pPr>
          </w:p>
        </w:tc>
        <w:tc>
          <w:tcPr>
            <w:tcW w:w="863" w:type="pct"/>
            <w:tcBorders>
              <w:top w:val="nil"/>
              <w:left w:val="nil"/>
              <w:bottom w:val="nil"/>
              <w:right w:val="nil"/>
            </w:tcBorders>
          </w:tcPr>
          <w:p>
            <w:pPr>
              <w:jc w:val="center"/>
              <w:rPr>
                <w:rFonts w:ascii="Times New Roman" w:hAnsi="Times New Roman" w:eastAsia="仿宋" w:cs="Times New Roman"/>
                <w:sz w:val="15"/>
                <w:szCs w:val="15"/>
              </w:rPr>
            </w:pP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(0.040)</w:t>
            </w:r>
          </w:p>
        </w:tc>
      </w:tr>
      <w:tr>
        <w:tblPrEx>
          <w:tblCellMar>
            <w:top w:w="0" w:type="dxa"/>
            <w:left w:w="108" w:type="dxa"/>
            <w:bottom w:w="0" w:type="dxa"/>
            <w:right w:w="108" w:type="dxa"/>
          </w:tblCellMar>
        </w:tblPrEx>
        <w:trPr>
          <w:jc w:val="center"/>
        </w:trPr>
        <w:tc>
          <w:tcPr>
            <w:tcW w:w="1330" w:type="dxa"/>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kern w:val="0"/>
                <w:sz w:val="15"/>
                <w:szCs w:val="15"/>
              </w:rPr>
              <w:t>age</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-0.179***</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-0.205***</w:t>
            </w:r>
          </w:p>
        </w:tc>
        <w:tc>
          <w:tcPr>
            <w:tcW w:w="8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-0.207*</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-0.193***</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-0.193***</w:t>
            </w:r>
          </w:p>
        </w:tc>
      </w:tr>
      <w:tr>
        <w:tblPrEx>
          <w:tblCellMar>
            <w:top w:w="0" w:type="dxa"/>
            <w:left w:w="108" w:type="dxa"/>
            <w:bottom w:w="0" w:type="dxa"/>
            <w:right w:w="108" w:type="dxa"/>
          </w:tblCellMar>
        </w:tblPrEx>
        <w:trPr>
          <w:jc w:val="center"/>
        </w:trPr>
        <w:tc>
          <w:tcPr>
            <w:tcW w:w="1330" w:type="dxa"/>
            <w:tcBorders>
              <w:top w:val="nil"/>
              <w:left w:val="nil"/>
              <w:bottom w:val="nil"/>
              <w:right w:val="nil"/>
            </w:tcBorders>
          </w:tcPr>
          <w:p>
            <w:pPr>
              <w:jc w:val="center"/>
              <w:rPr>
                <w:rFonts w:ascii="Times New Roman" w:hAnsi="Times New Roman" w:eastAsia="仿宋" w:cs="Times New Roman"/>
                <w:i/>
                <w:iCs/>
                <w:sz w:val="15"/>
                <w:szCs w:val="15"/>
              </w:rPr>
            </w:pP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(0.051)</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(0.074)</w:t>
            </w:r>
          </w:p>
        </w:tc>
        <w:tc>
          <w:tcPr>
            <w:tcW w:w="8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(0.105)</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(0.036)</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(0.036)</w:t>
            </w:r>
          </w:p>
        </w:tc>
      </w:tr>
      <w:tr>
        <w:tblPrEx>
          <w:tblCellMar>
            <w:top w:w="0" w:type="dxa"/>
            <w:left w:w="108" w:type="dxa"/>
            <w:bottom w:w="0" w:type="dxa"/>
            <w:right w:w="108" w:type="dxa"/>
          </w:tblCellMar>
        </w:tblPrEx>
        <w:trPr>
          <w:jc w:val="center"/>
        </w:trPr>
        <w:tc>
          <w:tcPr>
            <w:tcW w:w="1330" w:type="dxa"/>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size</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0.626***</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0.638***</w:t>
            </w:r>
          </w:p>
        </w:tc>
        <w:tc>
          <w:tcPr>
            <w:tcW w:w="8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0.653***</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0.609***</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0.609***</w:t>
            </w:r>
          </w:p>
        </w:tc>
      </w:tr>
      <w:tr>
        <w:tblPrEx>
          <w:tblCellMar>
            <w:top w:w="0" w:type="dxa"/>
            <w:left w:w="108" w:type="dxa"/>
            <w:bottom w:w="0" w:type="dxa"/>
            <w:right w:w="108" w:type="dxa"/>
          </w:tblCellMar>
        </w:tblPrEx>
        <w:trPr>
          <w:trHeight w:val="264" w:hRule="atLeast"/>
          <w:jc w:val="center"/>
        </w:trPr>
        <w:tc>
          <w:tcPr>
            <w:tcW w:w="1330" w:type="dxa"/>
            <w:tcBorders>
              <w:top w:val="nil"/>
              <w:left w:val="nil"/>
              <w:bottom w:val="nil"/>
              <w:right w:val="nil"/>
            </w:tcBorders>
          </w:tcPr>
          <w:p>
            <w:pPr>
              <w:jc w:val="center"/>
              <w:rPr>
                <w:rFonts w:ascii="Times New Roman" w:hAnsi="Times New Roman" w:eastAsia="仿宋" w:cs="Times New Roman"/>
                <w:i/>
                <w:iCs/>
                <w:sz w:val="15"/>
                <w:szCs w:val="15"/>
              </w:rPr>
            </w:pP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(0.046)</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(0.048)</w:t>
            </w:r>
          </w:p>
        </w:tc>
        <w:tc>
          <w:tcPr>
            <w:tcW w:w="8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(0.050)</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(0.044)</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(0.044)</w:t>
            </w:r>
          </w:p>
        </w:tc>
      </w:tr>
      <w:tr>
        <w:tblPrEx>
          <w:tblCellMar>
            <w:top w:w="0" w:type="dxa"/>
            <w:left w:w="108" w:type="dxa"/>
            <w:bottom w:w="0" w:type="dxa"/>
            <w:right w:w="108" w:type="dxa"/>
          </w:tblCellMar>
        </w:tblPrEx>
        <w:trPr>
          <w:jc w:val="center"/>
        </w:trPr>
        <w:tc>
          <w:tcPr>
            <w:tcW w:w="1330" w:type="dxa"/>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soe</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-0.075</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-0.085</w:t>
            </w:r>
          </w:p>
        </w:tc>
        <w:tc>
          <w:tcPr>
            <w:tcW w:w="8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-0.091</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-0.080</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-0.080</w:t>
            </w:r>
          </w:p>
        </w:tc>
      </w:tr>
      <w:tr>
        <w:tblPrEx>
          <w:tblCellMar>
            <w:top w:w="0" w:type="dxa"/>
            <w:left w:w="108" w:type="dxa"/>
            <w:bottom w:w="0" w:type="dxa"/>
            <w:right w:w="108" w:type="dxa"/>
          </w:tblCellMar>
        </w:tblPrEx>
        <w:trPr>
          <w:trHeight w:val="307" w:hRule="atLeast"/>
          <w:jc w:val="center"/>
        </w:trPr>
        <w:tc>
          <w:tcPr>
            <w:tcW w:w="1330" w:type="dxa"/>
            <w:tcBorders>
              <w:top w:val="nil"/>
              <w:left w:val="nil"/>
              <w:bottom w:val="nil"/>
              <w:right w:val="nil"/>
            </w:tcBorders>
          </w:tcPr>
          <w:p>
            <w:pPr>
              <w:jc w:val="center"/>
              <w:rPr>
                <w:rFonts w:ascii="Times New Roman" w:hAnsi="Times New Roman" w:eastAsia="仿宋" w:cs="Times New Roman"/>
                <w:i/>
                <w:iCs/>
                <w:sz w:val="15"/>
                <w:szCs w:val="15"/>
              </w:rPr>
            </w:pP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(0.075)</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(0.078)</w:t>
            </w:r>
          </w:p>
        </w:tc>
        <w:tc>
          <w:tcPr>
            <w:tcW w:w="8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(0.084)</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(0.069)</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(0.069)</w:t>
            </w:r>
          </w:p>
        </w:tc>
      </w:tr>
      <w:tr>
        <w:tblPrEx>
          <w:tblCellMar>
            <w:top w:w="0" w:type="dxa"/>
            <w:left w:w="108" w:type="dxa"/>
            <w:bottom w:w="0" w:type="dxa"/>
            <w:right w:w="108" w:type="dxa"/>
          </w:tblCellMar>
        </w:tblPrEx>
        <w:trPr>
          <w:jc w:val="center"/>
        </w:trPr>
        <w:tc>
          <w:tcPr>
            <w:tcW w:w="1330" w:type="dxa"/>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kern w:val="0"/>
                <w:sz w:val="15"/>
                <w:szCs w:val="15"/>
              </w:rPr>
              <w:t>klr</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0.853***</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0.906***</w:t>
            </w:r>
          </w:p>
        </w:tc>
        <w:tc>
          <w:tcPr>
            <w:tcW w:w="8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0.888***</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0.824***</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0.824***</w:t>
            </w:r>
          </w:p>
        </w:tc>
      </w:tr>
      <w:tr>
        <w:tblPrEx>
          <w:tblCellMar>
            <w:top w:w="0" w:type="dxa"/>
            <w:left w:w="108" w:type="dxa"/>
            <w:bottom w:w="0" w:type="dxa"/>
            <w:right w:w="108" w:type="dxa"/>
          </w:tblCellMar>
        </w:tblPrEx>
        <w:trPr>
          <w:jc w:val="center"/>
        </w:trPr>
        <w:tc>
          <w:tcPr>
            <w:tcW w:w="1330" w:type="dxa"/>
            <w:tcBorders>
              <w:top w:val="nil"/>
              <w:left w:val="nil"/>
              <w:bottom w:val="nil"/>
              <w:right w:val="nil"/>
            </w:tcBorders>
          </w:tcPr>
          <w:p>
            <w:pPr>
              <w:jc w:val="center"/>
              <w:rPr>
                <w:rFonts w:ascii="Times New Roman" w:hAnsi="Times New Roman" w:eastAsia="仿宋" w:cs="Times New Roman"/>
                <w:i/>
                <w:iCs/>
                <w:sz w:val="15"/>
                <w:szCs w:val="15"/>
              </w:rPr>
            </w:pP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(0.137)</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(0.144)</w:t>
            </w:r>
          </w:p>
        </w:tc>
        <w:tc>
          <w:tcPr>
            <w:tcW w:w="8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(0.148)</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(0.133)</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(0.133)</w:t>
            </w:r>
          </w:p>
        </w:tc>
      </w:tr>
      <w:tr>
        <w:tblPrEx>
          <w:tblCellMar>
            <w:top w:w="0" w:type="dxa"/>
            <w:left w:w="108" w:type="dxa"/>
            <w:bottom w:w="0" w:type="dxa"/>
            <w:right w:w="108" w:type="dxa"/>
          </w:tblCellMar>
        </w:tblPrEx>
        <w:trPr>
          <w:jc w:val="center"/>
        </w:trPr>
        <w:tc>
          <w:tcPr>
            <w:tcW w:w="1330" w:type="dxa"/>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kern w:val="0"/>
                <w:sz w:val="15"/>
                <w:szCs w:val="15"/>
              </w:rPr>
              <w:t>per_industry2</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0.000</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-0.001</w:t>
            </w:r>
          </w:p>
        </w:tc>
        <w:tc>
          <w:tcPr>
            <w:tcW w:w="8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-0.003</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0.001</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0.001</w:t>
            </w:r>
          </w:p>
        </w:tc>
      </w:tr>
      <w:tr>
        <w:tblPrEx>
          <w:tblCellMar>
            <w:top w:w="0" w:type="dxa"/>
            <w:left w:w="108" w:type="dxa"/>
            <w:bottom w:w="0" w:type="dxa"/>
            <w:right w:w="108" w:type="dxa"/>
          </w:tblCellMar>
        </w:tblPrEx>
        <w:trPr>
          <w:jc w:val="center"/>
        </w:trPr>
        <w:tc>
          <w:tcPr>
            <w:tcW w:w="1330" w:type="dxa"/>
            <w:tcBorders>
              <w:top w:val="nil"/>
              <w:left w:val="nil"/>
              <w:bottom w:val="nil"/>
              <w:right w:val="nil"/>
            </w:tcBorders>
          </w:tcPr>
          <w:p>
            <w:pPr>
              <w:jc w:val="center"/>
              <w:rPr>
                <w:rFonts w:ascii="Times New Roman" w:hAnsi="Times New Roman" w:eastAsia="仿宋" w:cs="Times New Roman"/>
                <w:i/>
                <w:iCs/>
                <w:sz w:val="15"/>
                <w:szCs w:val="15"/>
              </w:rPr>
            </w:pP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(0.004)</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(0.004)</w:t>
            </w:r>
          </w:p>
        </w:tc>
        <w:tc>
          <w:tcPr>
            <w:tcW w:w="8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(0.004)</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(0.003)</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(0.003)</w:t>
            </w:r>
          </w:p>
        </w:tc>
      </w:tr>
      <w:tr>
        <w:tblPrEx>
          <w:tblCellMar>
            <w:top w:w="0" w:type="dxa"/>
            <w:left w:w="108" w:type="dxa"/>
            <w:bottom w:w="0" w:type="dxa"/>
            <w:right w:w="108" w:type="dxa"/>
          </w:tblCellMar>
        </w:tblPrEx>
        <w:trPr>
          <w:jc w:val="center"/>
        </w:trPr>
        <w:tc>
          <w:tcPr>
            <w:tcW w:w="1330" w:type="dxa"/>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kern w:val="0"/>
                <w:sz w:val="15"/>
                <w:szCs w:val="15"/>
              </w:rPr>
              <w:t>Fix_inves</w:t>
            </w:r>
            <w:r>
              <w:rPr>
                <w:rFonts w:ascii="Times New Roman" w:hAnsi="Times New Roman" w:eastAsia="仿宋" w:cs="Times New Roman"/>
                <w:i/>
                <w:iCs/>
                <w:sz w:val="15"/>
                <w:szCs w:val="15"/>
              </w:rPr>
              <w:t>t</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0.071</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0.088*</w:t>
            </w:r>
          </w:p>
        </w:tc>
        <w:tc>
          <w:tcPr>
            <w:tcW w:w="8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0.119**</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0.045</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0.048</w:t>
            </w:r>
          </w:p>
        </w:tc>
      </w:tr>
      <w:tr>
        <w:tblPrEx>
          <w:tblCellMar>
            <w:top w:w="0" w:type="dxa"/>
            <w:left w:w="108" w:type="dxa"/>
            <w:bottom w:w="0" w:type="dxa"/>
            <w:right w:w="108" w:type="dxa"/>
          </w:tblCellMar>
        </w:tblPrEx>
        <w:trPr>
          <w:jc w:val="center"/>
        </w:trPr>
        <w:tc>
          <w:tcPr>
            <w:tcW w:w="1330" w:type="dxa"/>
            <w:tcBorders>
              <w:top w:val="nil"/>
              <w:left w:val="nil"/>
              <w:bottom w:val="nil"/>
              <w:right w:val="nil"/>
            </w:tcBorders>
          </w:tcPr>
          <w:p>
            <w:pPr>
              <w:jc w:val="center"/>
              <w:rPr>
                <w:rFonts w:ascii="Times New Roman" w:hAnsi="Times New Roman" w:eastAsia="仿宋" w:cs="Times New Roman"/>
                <w:i/>
                <w:iCs/>
                <w:sz w:val="15"/>
                <w:szCs w:val="15"/>
              </w:rPr>
            </w:pP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(0.050)</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(0.052)</w:t>
            </w:r>
          </w:p>
        </w:tc>
        <w:tc>
          <w:tcPr>
            <w:tcW w:w="8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(0.057)</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(0.046)</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(0.045)</w:t>
            </w:r>
          </w:p>
        </w:tc>
      </w:tr>
      <w:tr>
        <w:tblPrEx>
          <w:tblCellMar>
            <w:top w:w="0" w:type="dxa"/>
            <w:left w:w="108" w:type="dxa"/>
            <w:bottom w:w="0" w:type="dxa"/>
            <w:right w:w="108" w:type="dxa"/>
          </w:tblCellMar>
        </w:tblPrEx>
        <w:trPr>
          <w:jc w:val="center"/>
        </w:trPr>
        <w:tc>
          <w:tcPr>
            <w:tcW w:w="780"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cons</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0.084</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-0.153</w:t>
            </w:r>
          </w:p>
        </w:tc>
        <w:tc>
          <w:tcPr>
            <w:tcW w:w="8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-0.663</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0.723</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0.715</w:t>
            </w:r>
          </w:p>
        </w:tc>
      </w:tr>
      <w:tr>
        <w:tblPrEx>
          <w:tblCellMar>
            <w:top w:w="0" w:type="dxa"/>
            <w:left w:w="108" w:type="dxa"/>
            <w:bottom w:w="0" w:type="dxa"/>
            <w:right w:w="108" w:type="dxa"/>
          </w:tblCellMar>
        </w:tblPrEx>
        <w:trPr>
          <w:jc w:val="center"/>
        </w:trPr>
        <w:tc>
          <w:tcPr>
            <w:tcW w:w="780" w:type="pct"/>
            <w:tcBorders>
              <w:top w:val="nil"/>
              <w:left w:val="nil"/>
              <w:bottom w:val="nil"/>
              <w:right w:val="nil"/>
            </w:tcBorders>
          </w:tcPr>
          <w:p>
            <w:pPr>
              <w:jc w:val="center"/>
              <w:rPr>
                <w:rFonts w:ascii="Times New Roman" w:hAnsi="Times New Roman" w:eastAsia="仿宋" w:cs="Times New Roman"/>
                <w:i/>
                <w:iCs/>
                <w:sz w:val="15"/>
                <w:szCs w:val="15"/>
              </w:rPr>
            </w:pP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(1.090)</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(1.190)</w:t>
            </w:r>
          </w:p>
        </w:tc>
        <w:tc>
          <w:tcPr>
            <w:tcW w:w="8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(1.255)</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(0.996)</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(1.000)</w:t>
            </w:r>
          </w:p>
        </w:tc>
      </w:tr>
      <w:tr>
        <w:tblPrEx>
          <w:tblCellMar>
            <w:top w:w="0" w:type="dxa"/>
            <w:left w:w="108" w:type="dxa"/>
            <w:bottom w:w="0" w:type="dxa"/>
            <w:right w:w="108" w:type="dxa"/>
          </w:tblCellMar>
        </w:tblPrEx>
        <w:trPr>
          <w:jc w:val="center"/>
        </w:trPr>
        <w:tc>
          <w:tcPr>
            <w:tcW w:w="780"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企业固定效应</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8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8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8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r>
      <w:tr>
        <w:tblPrEx>
          <w:tblCellMar>
            <w:top w:w="0" w:type="dxa"/>
            <w:left w:w="108" w:type="dxa"/>
            <w:bottom w:w="0" w:type="dxa"/>
            <w:right w:w="108" w:type="dxa"/>
          </w:tblCellMar>
        </w:tblPrEx>
        <w:trPr>
          <w:jc w:val="center"/>
        </w:trPr>
        <w:tc>
          <w:tcPr>
            <w:tcW w:w="780"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年份固定效应</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81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8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8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8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r>
      <w:tr>
        <w:tblPrEx>
          <w:tblCellMar>
            <w:top w:w="0" w:type="dxa"/>
            <w:left w:w="108" w:type="dxa"/>
            <w:bottom w:w="0" w:type="dxa"/>
            <w:right w:w="108" w:type="dxa"/>
          </w:tblCellMar>
        </w:tblPrEx>
        <w:trPr>
          <w:jc w:val="center"/>
        </w:trPr>
        <w:tc>
          <w:tcPr>
            <w:tcW w:w="780" w:type="pct"/>
            <w:tcBorders>
              <w:top w:val="nil"/>
              <w:left w:val="nil"/>
              <w:bottom w:val="nil"/>
              <w:right w:val="nil"/>
            </w:tcBorders>
          </w:tcPr>
          <w:p>
            <w:pPr>
              <w:jc w:val="center"/>
              <w:rPr>
                <w:rFonts w:ascii="Times New Roman" w:hAnsi="Times New Roman" w:eastAsia="仿宋" w:cs="Times New Roman"/>
                <w:sz w:val="15"/>
                <w:szCs w:val="15"/>
                <w:vertAlign w:val="superscript"/>
              </w:rPr>
            </w:pPr>
            <w:r>
              <w:rPr>
                <w:rFonts w:ascii="Times New Roman" w:hAnsi="Times New Roman" w:eastAsia="仿宋" w:cs="Times New Roman"/>
                <w:sz w:val="15"/>
                <w:szCs w:val="15"/>
              </w:rPr>
              <w:t>R</w:t>
            </w:r>
            <w:r>
              <w:rPr>
                <w:rFonts w:ascii="Times New Roman" w:hAnsi="Times New Roman" w:eastAsia="仿宋" w:cs="Times New Roman"/>
                <w:sz w:val="15"/>
                <w:szCs w:val="15"/>
                <w:vertAlign w:val="superscript"/>
              </w:rPr>
              <w:t>2</w:t>
            </w:r>
          </w:p>
        </w:tc>
        <w:tc>
          <w:tcPr>
            <w:tcW w:w="138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0.664</w:t>
            </w:r>
          </w:p>
        </w:tc>
        <w:tc>
          <w:tcPr>
            <w:tcW w:w="138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0.661</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0.664</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0.663</w:t>
            </w:r>
          </w:p>
        </w:tc>
        <w:tc>
          <w:tcPr>
            <w:tcW w:w="147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0.663</w:t>
            </w:r>
          </w:p>
        </w:tc>
      </w:tr>
      <w:tr>
        <w:tblPrEx>
          <w:tblCellMar>
            <w:top w:w="0" w:type="dxa"/>
            <w:left w:w="108" w:type="dxa"/>
            <w:bottom w:w="0" w:type="dxa"/>
            <w:right w:w="108" w:type="dxa"/>
          </w:tblCellMar>
        </w:tblPrEx>
        <w:trPr>
          <w:jc w:val="center"/>
        </w:trPr>
        <w:tc>
          <w:tcPr>
            <w:tcW w:w="780"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N</w:t>
            </w:r>
          </w:p>
        </w:tc>
        <w:tc>
          <w:tcPr>
            <w:tcW w:w="1388"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30,266</w:t>
            </w:r>
          </w:p>
        </w:tc>
        <w:tc>
          <w:tcPr>
            <w:tcW w:w="1388"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27,295</w:t>
            </w:r>
          </w:p>
        </w:tc>
        <w:tc>
          <w:tcPr>
            <w:tcW w:w="1472"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24,597</w:t>
            </w:r>
          </w:p>
        </w:tc>
        <w:tc>
          <w:tcPr>
            <w:tcW w:w="1472"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33,598</w:t>
            </w:r>
          </w:p>
        </w:tc>
        <w:tc>
          <w:tcPr>
            <w:tcW w:w="1472"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33,598</w:t>
            </w:r>
          </w:p>
        </w:tc>
      </w:tr>
    </w:tbl>
    <w:p>
      <w:pPr>
        <w:rPr>
          <w:rFonts w:ascii="Times New Roman" w:hAnsi="Times New Roman" w:eastAsia="仿宋" w:cs="Times New Roman"/>
          <w:szCs w:val="21"/>
        </w:rPr>
      </w:pPr>
    </w:p>
    <w:p>
      <w:pPr>
        <w:ind w:firstLine="420"/>
        <w:rPr>
          <w:rFonts w:ascii="Times New Roman" w:hAnsi="Times New Roman" w:eastAsia="仿宋" w:cs="Times New Roman"/>
          <w:b/>
          <w:bCs/>
          <w:szCs w:val="21"/>
        </w:rPr>
      </w:pPr>
      <w:r>
        <w:rPr>
          <w:rFonts w:hint="eastAsia" w:ascii="Times New Roman" w:hAnsi="Times New Roman" w:eastAsia="仿宋" w:cs="Times New Roman"/>
          <w:b/>
          <w:bCs/>
          <w:szCs w:val="21"/>
        </w:rPr>
        <w:t>3</w:t>
      </w:r>
      <w:r>
        <w:rPr>
          <w:rFonts w:ascii="Times New Roman" w:hAnsi="Times New Roman" w:eastAsia="仿宋" w:cs="Times New Roman"/>
          <w:b/>
          <w:bCs/>
          <w:szCs w:val="21"/>
        </w:rPr>
        <w:t>.更换数据库：创新创业指数和省级TFP</w:t>
      </w:r>
    </w:p>
    <w:p>
      <w:pPr>
        <w:ind w:firstLine="420"/>
        <w:rPr>
          <w:rFonts w:ascii="Times New Roman" w:hAnsi="Times New Roman" w:eastAsia="仿宋" w:cs="Times New Roman"/>
          <w:szCs w:val="21"/>
        </w:rPr>
      </w:pPr>
      <w:r>
        <w:rPr>
          <w:rFonts w:ascii="Times New Roman" w:hAnsi="Times New Roman" w:eastAsia="仿宋" w:cs="Times New Roman"/>
          <w:szCs w:val="21"/>
        </w:rPr>
        <w:t>在基准回归中，本文使用上市公司数据从微观层面捕捉了</w:t>
      </w:r>
      <w:r>
        <w:rPr>
          <w:rFonts w:hint="eastAsia" w:ascii="Times New Roman" w:hAnsi="Times New Roman" w:eastAsia="仿宋" w:cs="Times New Roman"/>
          <w:szCs w:val="21"/>
        </w:rPr>
        <w:t>显性</w:t>
      </w:r>
      <w:r>
        <w:rPr>
          <w:rFonts w:ascii="Times New Roman" w:hAnsi="Times New Roman" w:eastAsia="仿宋" w:cs="Times New Roman"/>
          <w:szCs w:val="21"/>
        </w:rPr>
        <w:t>体制引力对企业全要素生产率的负面影响，但这一结果可能因数据代表性不足而有局限性。为了更全面的识别体制引力对企业全要素生产率的影响，本文将数据库更新为宏观层面的省级和城市面板数据集和中国工业企业数据库进行稳健性检验。首先是省级和城市面板数据集的检验：分别利用北京大学企业大数据研究中心编制的区域创新创业指数和手工计算的省级TFP指标作为被解释变量重新进行回归，并构建模型如下所示：</w:t>
      </w:r>
    </w:p>
    <w:p>
      <w:pPr>
        <w:jc w:val="center"/>
        <w:rPr>
          <w:rFonts w:ascii="Times New Roman" w:hAnsi="Times New Roman" w:eastAsia="仿宋" w:cs="Times New Roman"/>
          <w:position w:val="-14"/>
          <w:szCs w:val="21"/>
        </w:rPr>
      </w:pPr>
      <w:r>
        <w:rPr>
          <w:rFonts w:ascii="Times New Roman" w:hAnsi="Times New Roman" w:eastAsia="仿宋" w:cs="Times New Roman"/>
          <w:position w:val="-14"/>
          <w:szCs w:val="21"/>
        </w:rPr>
        <w:object>
          <v:shape id="_x0000_i1033" o:spt="75" type="#_x0000_t75" style="height:17.65pt;width:249.05pt;" o:ole="t" filled="f" o:preferrelative="t" stroked="f" coordsize="21600,21600">
            <v:path/>
            <v:fill on="f" focussize="0,0"/>
            <v:stroke on="f" joinstyle="miter"/>
            <v:imagedata r:id="rId26" o:title=""/>
            <o:lock v:ext="edit" aspectratio="f"/>
            <w10:wrap type="none"/>
            <w10:anchorlock/>
          </v:shape>
          <o:OLEObject Type="Embed" ProgID="Equation.DSMT4" ShapeID="_x0000_i1033" DrawAspect="Content" ObjectID="_1468075733" r:id="rId25">
            <o:LockedField>false</o:LockedField>
          </o:OLEObject>
        </w:object>
      </w:r>
    </w:p>
    <w:p>
      <w:pPr>
        <w:ind w:firstLine="420"/>
        <w:rPr>
          <w:rFonts w:ascii="Times New Roman" w:hAnsi="Times New Roman" w:eastAsia="仿宋" w:cs="Times New Roman"/>
          <w:position w:val="-14"/>
          <w:szCs w:val="21"/>
        </w:rPr>
      </w:pPr>
      <w:r>
        <w:rPr>
          <w:rFonts w:ascii="Times New Roman" w:hAnsi="Times New Roman" w:eastAsia="仿宋" w:cs="Times New Roman"/>
          <w:position w:val="-14"/>
          <w:szCs w:val="21"/>
        </w:rPr>
        <w:t>其中，被解释变量</w:t>
      </w:r>
      <w:r>
        <w:rPr>
          <w:rFonts w:ascii="Times New Roman" w:hAnsi="Times New Roman" w:eastAsia="仿宋" w:cs="Times New Roman"/>
          <w:i/>
          <w:iCs/>
          <w:position w:val="-14"/>
          <w:szCs w:val="21"/>
        </w:rPr>
        <w:t>Innovation</w:t>
      </w:r>
      <w:r>
        <w:rPr>
          <w:rFonts w:ascii="Times New Roman" w:hAnsi="Times New Roman" w:eastAsia="仿宋" w:cs="Times New Roman"/>
          <w:position w:val="-14"/>
          <w:szCs w:val="21"/>
        </w:rPr>
        <w:t>分别采用区域创新创业指数中的总指数（</w:t>
      </w:r>
      <w:r>
        <w:rPr>
          <w:rFonts w:ascii="Times New Roman" w:hAnsi="Times New Roman" w:eastAsia="仿宋" w:cs="Times New Roman"/>
          <w:i/>
          <w:iCs/>
          <w:position w:val="-14"/>
          <w:szCs w:val="21"/>
        </w:rPr>
        <w:t>Full_indicator</w:t>
      </w:r>
      <w:r>
        <w:rPr>
          <w:rFonts w:ascii="Times New Roman" w:hAnsi="Times New Roman" w:eastAsia="仿宋" w:cs="Times New Roman"/>
          <w:position w:val="-14"/>
          <w:szCs w:val="21"/>
        </w:rPr>
        <w:t>）、企业进入指数（</w:t>
      </w:r>
      <w:r>
        <w:rPr>
          <w:rFonts w:ascii="Times New Roman" w:hAnsi="Times New Roman" w:eastAsia="仿宋" w:cs="Times New Roman"/>
          <w:i/>
          <w:iCs/>
          <w:position w:val="-14"/>
          <w:szCs w:val="21"/>
        </w:rPr>
        <w:t>Start-up_indicator</w:t>
      </w:r>
      <w:r>
        <w:rPr>
          <w:rFonts w:ascii="Times New Roman" w:hAnsi="Times New Roman" w:eastAsia="仿宋" w:cs="Times New Roman"/>
          <w:position w:val="-14"/>
          <w:szCs w:val="21"/>
        </w:rPr>
        <w:t>）和以超越对数生产函数随机前沿方法计算的省级全要素生产率（</w:t>
      </w:r>
      <w:r>
        <w:rPr>
          <w:rFonts w:ascii="Times New Roman" w:hAnsi="Times New Roman" w:eastAsia="仿宋" w:cs="Times New Roman"/>
          <w:i/>
          <w:iCs/>
          <w:position w:val="-14"/>
          <w:szCs w:val="21"/>
        </w:rPr>
        <w:t>Tfp_province</w:t>
      </w:r>
      <w:r>
        <w:rPr>
          <w:rFonts w:ascii="Times New Roman" w:hAnsi="Times New Roman" w:eastAsia="仿宋" w:cs="Times New Roman"/>
          <w:position w:val="-14"/>
          <w:szCs w:val="21"/>
        </w:rPr>
        <w:t>）来刻。核心解释变量</w:t>
      </w:r>
      <w:r>
        <w:rPr>
          <w:rFonts w:ascii="Times New Roman" w:hAnsi="Times New Roman" w:eastAsia="仿宋" w:cs="Times New Roman"/>
          <w:i/>
          <w:iCs/>
          <w:position w:val="-14"/>
          <w:szCs w:val="21"/>
        </w:rPr>
        <w:t>gravity</w:t>
      </w:r>
      <w:r>
        <w:rPr>
          <w:rFonts w:ascii="Times New Roman" w:hAnsi="Times New Roman" w:eastAsia="仿宋" w:cs="Times New Roman"/>
          <w:position w:val="-14"/>
          <w:szCs w:val="21"/>
        </w:rPr>
        <w:t>仍为体制引力。</w:t>
      </w:r>
      <w:r>
        <w:rPr>
          <w:rFonts w:ascii="Times New Roman" w:hAnsi="Times New Roman" w:eastAsia="仿宋" w:cs="Times New Roman"/>
          <w:i/>
          <w:iCs/>
          <w:position w:val="-14"/>
          <w:szCs w:val="21"/>
        </w:rPr>
        <w:t>Z</w:t>
      </w:r>
      <w:r>
        <w:rPr>
          <w:rFonts w:ascii="Times New Roman" w:hAnsi="Times New Roman" w:eastAsia="仿宋" w:cs="Times New Roman"/>
          <w:i/>
          <w:iCs/>
          <w:position w:val="-14"/>
          <w:szCs w:val="21"/>
          <w:vertAlign w:val="subscript"/>
        </w:rPr>
        <w:t>pt</w:t>
      </w:r>
      <w:r>
        <w:rPr>
          <w:rFonts w:ascii="Times New Roman" w:hAnsi="Times New Roman" w:eastAsia="仿宋" w:cs="Times New Roman"/>
          <w:position w:val="-14"/>
          <w:szCs w:val="21"/>
        </w:rPr>
        <w:t>为控制变量，主要控制了省级层面的宏观因素，包括省份国民生产总值</w:t>
      </w:r>
      <w:r>
        <w:rPr>
          <w:rFonts w:ascii="Times New Roman" w:hAnsi="Times New Roman" w:eastAsia="仿宋" w:cs="Times New Roman"/>
          <w:i/>
          <w:iCs/>
          <w:position w:val="-14"/>
          <w:szCs w:val="21"/>
        </w:rPr>
        <w:t>gdp</w:t>
      </w:r>
      <w:r>
        <w:rPr>
          <w:rFonts w:ascii="Times New Roman" w:hAnsi="Times New Roman" w:eastAsia="仿宋" w:cs="Times New Roman"/>
          <w:position w:val="-14"/>
          <w:szCs w:val="21"/>
        </w:rPr>
        <w:t>、人口数量</w:t>
      </w:r>
      <w:r>
        <w:rPr>
          <w:rFonts w:ascii="Times New Roman" w:hAnsi="Times New Roman" w:eastAsia="仿宋" w:cs="Times New Roman"/>
          <w:i/>
          <w:iCs/>
          <w:position w:val="-14"/>
          <w:szCs w:val="21"/>
        </w:rPr>
        <w:t>peo</w:t>
      </w:r>
      <w:r>
        <w:rPr>
          <w:rFonts w:ascii="Times New Roman" w:hAnsi="Times New Roman" w:eastAsia="仿宋" w:cs="Times New Roman"/>
          <w:position w:val="-14"/>
          <w:szCs w:val="21"/>
        </w:rPr>
        <w:t>、第二产业占</w:t>
      </w:r>
      <w:r>
        <w:rPr>
          <w:rFonts w:ascii="Times New Roman" w:hAnsi="Times New Roman" w:eastAsia="仿宋" w:cs="Times New Roman"/>
          <w:i/>
          <w:iCs/>
          <w:position w:val="-14"/>
          <w:szCs w:val="21"/>
        </w:rPr>
        <w:t>GDP</w:t>
      </w:r>
      <w:r>
        <w:rPr>
          <w:rFonts w:ascii="Times New Roman" w:hAnsi="Times New Roman" w:eastAsia="仿宋" w:cs="Times New Roman"/>
          <w:position w:val="-14"/>
          <w:szCs w:val="21"/>
        </w:rPr>
        <w:t>比重</w:t>
      </w:r>
      <w:r>
        <w:rPr>
          <w:rFonts w:ascii="Times New Roman" w:hAnsi="Times New Roman" w:eastAsia="仿宋" w:cs="Times New Roman"/>
          <w:i/>
          <w:iCs/>
          <w:position w:val="-14"/>
          <w:szCs w:val="21"/>
        </w:rPr>
        <w:t>per_industry2</w:t>
      </w:r>
      <w:r>
        <w:rPr>
          <w:rFonts w:ascii="Times New Roman" w:hAnsi="Times New Roman" w:eastAsia="仿宋" w:cs="Times New Roman"/>
          <w:position w:val="-14"/>
          <w:szCs w:val="21"/>
        </w:rPr>
        <w:t>、第三产业占</w:t>
      </w:r>
      <w:r>
        <w:rPr>
          <w:rFonts w:ascii="Times New Roman" w:hAnsi="Times New Roman" w:eastAsia="仿宋" w:cs="Times New Roman"/>
          <w:i/>
          <w:iCs/>
          <w:position w:val="-14"/>
          <w:szCs w:val="21"/>
        </w:rPr>
        <w:t>GDP</w:t>
      </w:r>
      <w:r>
        <w:rPr>
          <w:rFonts w:ascii="Times New Roman" w:hAnsi="Times New Roman" w:eastAsia="仿宋" w:cs="Times New Roman"/>
          <w:position w:val="-14"/>
          <w:szCs w:val="21"/>
        </w:rPr>
        <w:t>比重</w:t>
      </w:r>
      <w:r>
        <w:rPr>
          <w:rFonts w:ascii="Times New Roman" w:hAnsi="Times New Roman" w:eastAsia="仿宋" w:cs="Times New Roman"/>
          <w:i/>
          <w:iCs/>
          <w:position w:val="-14"/>
          <w:szCs w:val="21"/>
        </w:rPr>
        <w:t>per_industry3、</w:t>
      </w:r>
      <w:r>
        <w:rPr>
          <w:rFonts w:ascii="Times New Roman" w:hAnsi="Times New Roman" w:eastAsia="仿宋" w:cs="Times New Roman"/>
          <w:position w:val="-14"/>
          <w:szCs w:val="21"/>
        </w:rPr>
        <w:t>固定资产投资</w:t>
      </w:r>
      <w:r>
        <w:rPr>
          <w:rFonts w:ascii="Times New Roman" w:hAnsi="Times New Roman" w:eastAsia="仿宋" w:cs="Times New Roman"/>
          <w:i/>
          <w:iCs/>
          <w:position w:val="-14"/>
          <w:szCs w:val="21"/>
        </w:rPr>
        <w:t>Fix_invest</w:t>
      </w:r>
      <w:r>
        <w:rPr>
          <w:rFonts w:ascii="Times New Roman" w:hAnsi="Times New Roman" w:eastAsia="仿宋" w:cs="Times New Roman"/>
          <w:position w:val="-14"/>
          <w:szCs w:val="21"/>
        </w:rPr>
        <w:t>和外商直接投资占地方</w:t>
      </w:r>
      <w:r>
        <w:rPr>
          <w:rFonts w:ascii="Times New Roman" w:hAnsi="Times New Roman" w:eastAsia="仿宋" w:cs="Times New Roman"/>
          <w:i/>
          <w:iCs/>
          <w:position w:val="-14"/>
          <w:szCs w:val="21"/>
        </w:rPr>
        <w:t>GDP</w:t>
      </w:r>
      <w:r>
        <w:rPr>
          <w:rFonts w:ascii="Times New Roman" w:hAnsi="Times New Roman" w:eastAsia="仿宋" w:cs="Times New Roman"/>
          <w:position w:val="-14"/>
          <w:szCs w:val="21"/>
        </w:rPr>
        <w:t>比重</w:t>
      </w:r>
      <w:r>
        <w:rPr>
          <w:rFonts w:ascii="Times New Roman" w:hAnsi="Times New Roman" w:eastAsia="仿宋" w:cs="Times New Roman"/>
          <w:i/>
          <w:iCs/>
          <w:position w:val="-14"/>
          <w:szCs w:val="21"/>
        </w:rPr>
        <w:t>fdi</w:t>
      </w:r>
      <w:r>
        <w:rPr>
          <w:rFonts w:ascii="Times New Roman" w:hAnsi="Times New Roman" w:eastAsia="仿宋" w:cs="Times New Roman"/>
          <w:position w:val="-14"/>
          <w:szCs w:val="21"/>
        </w:rPr>
        <w:t>；此外，还加入</w:t>
      </w:r>
      <w:r>
        <w:rPr>
          <w:rFonts w:hint="eastAsia" w:ascii="Times New Roman" w:hAnsi="Times New Roman" w:eastAsia="仿宋" w:cs="Times New Roman"/>
          <w:position w:val="-14"/>
          <w:szCs w:val="21"/>
        </w:rPr>
        <w:t>区域</w:t>
      </w:r>
      <w:r>
        <w:rPr>
          <w:rFonts w:ascii="Times New Roman" w:hAnsi="Times New Roman" w:eastAsia="仿宋" w:cs="Times New Roman"/>
          <w:position w:val="-14"/>
          <w:szCs w:val="21"/>
        </w:rPr>
        <w:t>和年份的固定效应，用以控制宏观层面的冲击；</w:t>
      </w:r>
      <w:r>
        <w:rPr>
          <w:rFonts w:ascii="Times New Roman" w:hAnsi="Times New Roman" w:eastAsia="仿宋" w:cs="Times New Roman"/>
          <w:i/>
          <w:iCs/>
          <w:position w:val="-14"/>
          <w:szCs w:val="21"/>
        </w:rPr>
        <w:t>μ</w:t>
      </w:r>
      <w:r>
        <w:rPr>
          <w:rFonts w:hint="eastAsia" w:ascii="Times New Roman" w:hAnsi="Times New Roman" w:eastAsia="仿宋" w:cs="Times New Roman"/>
          <w:i/>
          <w:iCs/>
          <w:position w:val="-14"/>
          <w:szCs w:val="21"/>
          <w:vertAlign w:val="subscript"/>
        </w:rPr>
        <w:t>c</w:t>
      </w:r>
      <w:r>
        <w:rPr>
          <w:rFonts w:ascii="Times New Roman" w:hAnsi="Times New Roman" w:eastAsia="仿宋" w:cs="Times New Roman"/>
          <w:i/>
          <w:iCs/>
          <w:position w:val="-14"/>
          <w:szCs w:val="21"/>
          <w:vertAlign w:val="subscript"/>
        </w:rPr>
        <w:t>pt</w:t>
      </w:r>
      <w:r>
        <w:rPr>
          <w:rFonts w:ascii="Times New Roman" w:hAnsi="Times New Roman" w:eastAsia="仿宋" w:cs="Times New Roman"/>
          <w:position w:val="-14"/>
          <w:szCs w:val="21"/>
        </w:rPr>
        <w:t>则表示残差项。</w:t>
      </w:r>
    </w:p>
    <w:p>
      <w:pPr>
        <w:ind w:firstLine="420"/>
        <w:rPr>
          <w:rFonts w:ascii="Times New Roman" w:hAnsi="Times New Roman" w:eastAsia="仿宋" w:cs="Times New Roman"/>
          <w:szCs w:val="21"/>
        </w:rPr>
      </w:pPr>
      <w:r>
        <w:rPr>
          <w:rFonts w:ascii="Times New Roman" w:hAnsi="Times New Roman" w:eastAsia="仿宋" w:cs="Times New Roman"/>
          <w:szCs w:val="21"/>
        </w:rPr>
        <w:t>表</w:t>
      </w:r>
      <w:r>
        <w:rPr>
          <w:rFonts w:hint="eastAsia" w:ascii="仿宋" w:hAnsi="仿宋" w:eastAsia="仿宋" w:cs="仿宋"/>
          <w:szCs w:val="21"/>
        </w:rPr>
        <w:t>Ⅲ5</w:t>
      </w:r>
      <w:r>
        <w:rPr>
          <w:rFonts w:ascii="Times New Roman" w:hAnsi="Times New Roman" w:eastAsia="仿宋" w:cs="Times New Roman"/>
          <w:szCs w:val="21"/>
        </w:rPr>
        <w:t>第（1）-（2）列的结果显示，</w:t>
      </w:r>
      <w:r>
        <w:rPr>
          <w:rFonts w:hint="eastAsia" w:ascii="Times New Roman" w:hAnsi="Times New Roman" w:eastAsia="仿宋" w:cs="Times New Roman"/>
          <w:szCs w:val="21"/>
        </w:rPr>
        <w:t>显性</w:t>
      </w:r>
      <w:r>
        <w:rPr>
          <w:rFonts w:ascii="Times New Roman" w:hAnsi="Times New Roman" w:eastAsia="仿宋" w:cs="Times New Roman"/>
          <w:szCs w:val="21"/>
        </w:rPr>
        <w:t>体制引力的估计系数为负，并且至少在10%水平上显著，说明</w:t>
      </w:r>
      <w:r>
        <w:rPr>
          <w:rFonts w:hint="eastAsia" w:ascii="Times New Roman" w:hAnsi="Times New Roman" w:eastAsia="仿宋" w:cs="Times New Roman"/>
          <w:szCs w:val="21"/>
        </w:rPr>
        <w:t>显性</w:t>
      </w:r>
      <w:r>
        <w:rPr>
          <w:rFonts w:ascii="Times New Roman" w:hAnsi="Times New Roman" w:eastAsia="仿宋" w:cs="Times New Roman"/>
          <w:szCs w:val="21"/>
        </w:rPr>
        <w:t>体制引力也在宏观层面对创新产生了抑制</w:t>
      </w:r>
      <w:r>
        <w:rPr>
          <w:rFonts w:hint="eastAsia" w:ascii="Times New Roman" w:hAnsi="Times New Roman" w:eastAsia="仿宋" w:cs="Times New Roman"/>
          <w:szCs w:val="21"/>
        </w:rPr>
        <w:t>作用</w:t>
      </w:r>
      <w:r>
        <w:rPr>
          <w:rFonts w:ascii="Times New Roman" w:hAnsi="Times New Roman" w:eastAsia="仿宋" w:cs="Times New Roman"/>
          <w:szCs w:val="21"/>
        </w:rPr>
        <w:t>。考察第（3）-（4）列的结果，发现</w:t>
      </w:r>
      <w:r>
        <w:rPr>
          <w:rFonts w:hint="eastAsia" w:ascii="Times New Roman" w:hAnsi="Times New Roman" w:eastAsia="仿宋" w:cs="Times New Roman"/>
          <w:szCs w:val="21"/>
        </w:rPr>
        <w:t>显性</w:t>
      </w:r>
      <w:r>
        <w:rPr>
          <w:rFonts w:ascii="Times New Roman" w:hAnsi="Times New Roman" w:eastAsia="仿宋" w:cs="Times New Roman"/>
          <w:szCs w:val="21"/>
        </w:rPr>
        <w:t>体制引力抑制了新企业的进入，并且至少在10%水平上显著，说明</w:t>
      </w:r>
      <w:r>
        <w:rPr>
          <w:rFonts w:hint="eastAsia" w:ascii="Times New Roman" w:hAnsi="Times New Roman" w:eastAsia="仿宋" w:cs="Times New Roman"/>
          <w:szCs w:val="21"/>
        </w:rPr>
        <w:t>显性</w:t>
      </w:r>
      <w:r>
        <w:rPr>
          <w:rFonts w:ascii="Times New Roman" w:hAnsi="Times New Roman" w:eastAsia="仿宋" w:cs="Times New Roman"/>
          <w:szCs w:val="21"/>
        </w:rPr>
        <w:t>体制引力同样抑制了宏观层面的创新基因，即抑制人才创办企业。主要原因可能是：其一、</w:t>
      </w:r>
      <w:r>
        <w:rPr>
          <w:rFonts w:hint="eastAsia" w:ascii="Times New Roman" w:hAnsi="Times New Roman" w:eastAsia="仿宋" w:cs="Times New Roman"/>
          <w:szCs w:val="21"/>
        </w:rPr>
        <w:t>显性</w:t>
      </w:r>
      <w:r>
        <w:rPr>
          <w:rFonts w:ascii="Times New Roman" w:hAnsi="Times New Roman" w:eastAsia="仿宋" w:cs="Times New Roman"/>
          <w:szCs w:val="21"/>
        </w:rPr>
        <w:t>体制引力较高的地区，政府影响力更高、地方保护氛围浓厚并且国有企业市场份额较大而市场进入壁垒更强、对要素的支配地位更高，抑制企业的进入和新企业的诞生；其二、体制引力与人才选择理工科专业可能也有负向关联（Alexeev，2019），地区</w:t>
      </w:r>
      <w:r>
        <w:rPr>
          <w:rFonts w:hint="eastAsia" w:ascii="Times New Roman" w:hAnsi="Times New Roman" w:eastAsia="仿宋" w:cs="Times New Roman"/>
          <w:szCs w:val="21"/>
        </w:rPr>
        <w:t>显性</w:t>
      </w:r>
      <w:r>
        <w:rPr>
          <w:rFonts w:ascii="Times New Roman" w:hAnsi="Times New Roman" w:eastAsia="仿宋" w:cs="Times New Roman"/>
          <w:szCs w:val="21"/>
        </w:rPr>
        <w:t>体制引力越高可能引致大学生创业成功机会降低。第（5）-（7）列的结果显示，</w:t>
      </w:r>
      <w:r>
        <w:rPr>
          <w:rFonts w:hint="eastAsia" w:ascii="Times New Roman" w:hAnsi="Times New Roman" w:eastAsia="仿宋" w:cs="Times New Roman"/>
          <w:szCs w:val="21"/>
        </w:rPr>
        <w:t>显性</w:t>
      </w:r>
      <w:r>
        <w:rPr>
          <w:rFonts w:ascii="Times New Roman" w:hAnsi="Times New Roman" w:eastAsia="仿宋" w:cs="Times New Roman"/>
          <w:szCs w:val="21"/>
        </w:rPr>
        <w:t>体制引力对省级全要素生产率也有抑制作用。虽然</w:t>
      </w:r>
      <w:r>
        <w:rPr>
          <w:rFonts w:hint="eastAsia" w:ascii="Times New Roman" w:hAnsi="Times New Roman" w:eastAsia="仿宋" w:cs="Times New Roman"/>
          <w:szCs w:val="21"/>
        </w:rPr>
        <w:t>显性</w:t>
      </w:r>
      <w:r>
        <w:rPr>
          <w:rFonts w:ascii="Times New Roman" w:hAnsi="Times New Roman" w:eastAsia="仿宋" w:cs="Times New Roman"/>
          <w:szCs w:val="21"/>
        </w:rPr>
        <w:t>体制引力当期的结果并不显著，这</w:t>
      </w:r>
      <w:r>
        <w:rPr>
          <w:rFonts w:hint="eastAsia" w:ascii="Times New Roman" w:hAnsi="Times New Roman" w:eastAsia="仿宋" w:cs="Times New Roman"/>
          <w:szCs w:val="21"/>
        </w:rPr>
        <w:t>很大程度是显性</w:t>
      </w:r>
      <w:r>
        <w:rPr>
          <w:rFonts w:ascii="Times New Roman" w:hAnsi="Times New Roman" w:eastAsia="仿宋" w:cs="Times New Roman"/>
          <w:szCs w:val="21"/>
        </w:rPr>
        <w:t>体制引力</w:t>
      </w:r>
      <w:r>
        <w:rPr>
          <w:rFonts w:hint="eastAsia" w:ascii="Times New Roman" w:hAnsi="Times New Roman" w:eastAsia="仿宋" w:cs="Times New Roman"/>
          <w:szCs w:val="21"/>
        </w:rPr>
        <w:t>作用过程</w:t>
      </w:r>
      <w:r>
        <w:rPr>
          <w:rFonts w:ascii="Times New Roman" w:hAnsi="Times New Roman" w:eastAsia="仿宋" w:cs="Times New Roman"/>
          <w:szCs w:val="21"/>
        </w:rPr>
        <w:t>的滞后性</w:t>
      </w:r>
      <w:r>
        <w:rPr>
          <w:rFonts w:hint="eastAsia" w:ascii="Times New Roman" w:hAnsi="Times New Roman" w:eastAsia="仿宋" w:cs="Times New Roman"/>
          <w:szCs w:val="21"/>
        </w:rPr>
        <w:t>和连续性</w:t>
      </w:r>
      <w:r>
        <w:rPr>
          <w:rFonts w:ascii="Times New Roman" w:hAnsi="Times New Roman" w:eastAsia="仿宋" w:cs="Times New Roman"/>
          <w:szCs w:val="21"/>
        </w:rPr>
        <w:t>在宏观层面</w:t>
      </w:r>
      <w:r>
        <w:rPr>
          <w:rFonts w:hint="eastAsia" w:ascii="Times New Roman" w:hAnsi="Times New Roman" w:eastAsia="仿宋" w:cs="Times New Roman"/>
          <w:szCs w:val="21"/>
        </w:rPr>
        <w:t>表现得</w:t>
      </w:r>
      <w:r>
        <w:rPr>
          <w:rFonts w:ascii="Times New Roman" w:hAnsi="Times New Roman" w:eastAsia="仿宋" w:cs="Times New Roman"/>
          <w:szCs w:val="21"/>
        </w:rPr>
        <w:t>更为明显（Acemoglu，1995），但滞后一期和滞后二期体制引力的显著程度均至少在10%水平上显著。这</w:t>
      </w:r>
      <w:r>
        <w:rPr>
          <w:rFonts w:hint="eastAsia" w:ascii="Times New Roman" w:hAnsi="Times New Roman" w:eastAsia="仿宋" w:cs="Times New Roman"/>
          <w:szCs w:val="21"/>
        </w:rPr>
        <w:t>些结果不仅证实了基准回归的稳健性，还进一步补充了</w:t>
      </w:r>
      <w:r>
        <w:rPr>
          <w:rFonts w:ascii="Times New Roman" w:hAnsi="Times New Roman" w:eastAsia="仿宋" w:cs="Times New Roman"/>
          <w:szCs w:val="21"/>
        </w:rPr>
        <w:t>基准回归</w:t>
      </w:r>
      <w:r>
        <w:rPr>
          <w:rFonts w:hint="eastAsia" w:ascii="Times New Roman" w:hAnsi="Times New Roman" w:eastAsia="仿宋" w:cs="Times New Roman"/>
          <w:szCs w:val="21"/>
        </w:rPr>
        <w:t>的解释</w:t>
      </w:r>
      <w:r>
        <w:rPr>
          <w:rFonts w:ascii="Times New Roman" w:hAnsi="Times New Roman" w:eastAsia="仿宋" w:cs="Times New Roman"/>
          <w:szCs w:val="21"/>
        </w:rPr>
        <w:t>，即</w:t>
      </w:r>
      <w:r>
        <w:rPr>
          <w:rFonts w:hint="eastAsia" w:ascii="Times New Roman" w:hAnsi="Times New Roman" w:eastAsia="仿宋" w:cs="Times New Roman"/>
          <w:szCs w:val="21"/>
        </w:rPr>
        <w:t>显性</w:t>
      </w:r>
      <w:r>
        <w:rPr>
          <w:rFonts w:ascii="Times New Roman" w:hAnsi="Times New Roman" w:eastAsia="仿宋" w:cs="Times New Roman"/>
          <w:szCs w:val="21"/>
        </w:rPr>
        <w:t>体制引力抑制企业全要素生产率的机制源于其对宏观层面的总创新水平的抑制，</w:t>
      </w:r>
      <w:r>
        <w:rPr>
          <w:rFonts w:hint="eastAsia" w:ascii="Times New Roman" w:hAnsi="Times New Roman" w:eastAsia="仿宋" w:cs="Times New Roman"/>
          <w:szCs w:val="21"/>
        </w:rPr>
        <w:t>并进一步抑制了创新外溢效应，</w:t>
      </w:r>
      <w:r>
        <w:rPr>
          <w:rFonts w:ascii="Times New Roman" w:hAnsi="Times New Roman" w:eastAsia="仿宋" w:cs="Times New Roman"/>
          <w:szCs w:val="21"/>
        </w:rPr>
        <w:t>我们在</w:t>
      </w:r>
      <w:r>
        <w:rPr>
          <w:rFonts w:hint="eastAsia" w:ascii="Times New Roman" w:hAnsi="Times New Roman" w:eastAsia="仿宋" w:cs="Times New Roman"/>
          <w:szCs w:val="21"/>
        </w:rPr>
        <w:t>机制分析中</w:t>
      </w:r>
      <w:r>
        <w:rPr>
          <w:rFonts w:ascii="Times New Roman" w:hAnsi="Times New Roman" w:eastAsia="仿宋" w:cs="Times New Roman"/>
          <w:szCs w:val="21"/>
        </w:rPr>
        <w:t>证明</w:t>
      </w:r>
      <w:r>
        <w:rPr>
          <w:rFonts w:hint="eastAsia" w:ascii="Times New Roman" w:hAnsi="Times New Roman" w:eastAsia="仿宋" w:cs="Times New Roman"/>
          <w:szCs w:val="21"/>
        </w:rPr>
        <w:t>了</w:t>
      </w:r>
      <w:r>
        <w:rPr>
          <w:rFonts w:ascii="Times New Roman" w:hAnsi="Times New Roman" w:eastAsia="仿宋" w:cs="Times New Roman"/>
          <w:szCs w:val="21"/>
        </w:rPr>
        <w:t>这一点</w:t>
      </w:r>
      <w:r>
        <w:rPr>
          <w:rFonts w:hint="eastAsia" w:ascii="Times New Roman" w:hAnsi="Times New Roman" w:eastAsia="仿宋" w:cs="Times New Roman"/>
          <w:szCs w:val="21"/>
        </w:rPr>
        <w:t>。</w:t>
      </w:r>
    </w:p>
    <w:p>
      <w:pPr>
        <w:rPr>
          <w:rFonts w:ascii="Times New Roman" w:hAnsi="Times New Roman" w:eastAsia="仿宋" w:cs="Times New Roman"/>
          <w:szCs w:val="21"/>
        </w:rPr>
      </w:pPr>
    </w:p>
    <w:p>
      <w:pPr>
        <w:jc w:val="center"/>
        <w:rPr>
          <w:rFonts w:ascii="黑体" w:hAnsi="黑体" w:eastAsia="黑体" w:cs="黑体"/>
          <w:sz w:val="18"/>
          <w:szCs w:val="18"/>
        </w:rPr>
      </w:pPr>
      <w:r>
        <w:rPr>
          <w:rFonts w:hint="eastAsia" w:ascii="黑体" w:hAnsi="黑体" w:eastAsia="黑体" w:cs="黑体"/>
          <w:sz w:val="18"/>
          <w:szCs w:val="18"/>
        </w:rPr>
        <w:t>表Ⅲ5  更换面板数据库回归结果</w:t>
      </w:r>
    </w:p>
    <w:tbl>
      <w:tblPr>
        <w:tblStyle w:val="14"/>
        <w:tblW w:w="5000" w:type="pct"/>
        <w:jc w:val="center"/>
        <w:tblLayout w:type="autofit"/>
        <w:tblCellMar>
          <w:top w:w="0" w:type="dxa"/>
          <w:left w:w="108" w:type="dxa"/>
          <w:bottom w:w="0" w:type="dxa"/>
          <w:right w:w="108" w:type="dxa"/>
        </w:tblCellMar>
      </w:tblPr>
      <w:tblGrid>
        <w:gridCol w:w="1276"/>
        <w:gridCol w:w="1069"/>
        <w:gridCol w:w="1128"/>
        <w:gridCol w:w="1069"/>
        <w:gridCol w:w="1130"/>
        <w:gridCol w:w="849"/>
        <w:gridCol w:w="960"/>
        <w:gridCol w:w="1041"/>
      </w:tblGrid>
      <w:tr>
        <w:tblPrEx>
          <w:tblCellMar>
            <w:top w:w="0" w:type="dxa"/>
            <w:left w:w="108" w:type="dxa"/>
            <w:bottom w:w="0" w:type="dxa"/>
            <w:right w:w="108" w:type="dxa"/>
          </w:tblCellMar>
        </w:tblPrEx>
        <w:trPr>
          <w:trHeight w:val="90" w:hRule="atLeast"/>
          <w:jc w:val="center"/>
        </w:trPr>
        <w:tc>
          <w:tcPr>
            <w:tcW w:w="749" w:type="pct"/>
            <w:tcBorders>
              <w:top w:val="single" w:color="auto" w:sz="4" w:space="0"/>
              <w:left w:val="nil"/>
              <w:bottom w:val="nil"/>
              <w:right w:val="nil"/>
            </w:tcBorders>
          </w:tcPr>
          <w:p>
            <w:pPr>
              <w:jc w:val="center"/>
              <w:rPr>
                <w:rFonts w:ascii="Times New Roman" w:hAnsi="Times New Roman" w:eastAsia="仿宋" w:cs="Times New Roman"/>
                <w:sz w:val="15"/>
                <w:szCs w:val="15"/>
              </w:rPr>
            </w:pPr>
          </w:p>
        </w:tc>
        <w:tc>
          <w:tcPr>
            <w:tcW w:w="627"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w:t>
            </w:r>
          </w:p>
        </w:tc>
        <w:tc>
          <w:tcPr>
            <w:tcW w:w="662"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（2）</w:t>
            </w:r>
          </w:p>
        </w:tc>
        <w:tc>
          <w:tcPr>
            <w:tcW w:w="627"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w:t>
            </w:r>
          </w:p>
        </w:tc>
        <w:tc>
          <w:tcPr>
            <w:tcW w:w="662"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（4）</w:t>
            </w:r>
          </w:p>
        </w:tc>
        <w:tc>
          <w:tcPr>
            <w:tcW w:w="498"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（5）</w:t>
            </w:r>
          </w:p>
        </w:tc>
        <w:tc>
          <w:tcPr>
            <w:tcW w:w="563"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（6）</w:t>
            </w:r>
          </w:p>
        </w:tc>
        <w:tc>
          <w:tcPr>
            <w:tcW w:w="611"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（7）</w:t>
            </w:r>
          </w:p>
        </w:tc>
      </w:tr>
      <w:tr>
        <w:tblPrEx>
          <w:tblCellMar>
            <w:top w:w="0" w:type="dxa"/>
            <w:left w:w="108" w:type="dxa"/>
            <w:bottom w:w="0" w:type="dxa"/>
            <w:right w:w="108" w:type="dxa"/>
          </w:tblCellMar>
        </w:tblPrEx>
        <w:trPr>
          <w:jc w:val="center"/>
        </w:trPr>
        <w:tc>
          <w:tcPr>
            <w:tcW w:w="749"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变量</w:t>
            </w:r>
          </w:p>
        </w:tc>
        <w:tc>
          <w:tcPr>
            <w:tcW w:w="1289" w:type="pct"/>
            <w:gridSpan w:val="2"/>
            <w:tcBorders>
              <w:top w:val="nil"/>
              <w:left w:val="nil"/>
              <w:bottom w:val="single" w:color="auto" w:sz="4" w:space="0"/>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Full_indicator</w:t>
            </w:r>
          </w:p>
        </w:tc>
        <w:tc>
          <w:tcPr>
            <w:tcW w:w="1290" w:type="pct"/>
            <w:gridSpan w:val="2"/>
            <w:tcBorders>
              <w:top w:val="nil"/>
              <w:left w:val="nil"/>
              <w:bottom w:val="single" w:color="auto" w:sz="4" w:space="0"/>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Start-up_indicator</w:t>
            </w:r>
          </w:p>
        </w:tc>
        <w:tc>
          <w:tcPr>
            <w:tcW w:w="1673" w:type="pct"/>
            <w:gridSpan w:val="3"/>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i/>
                <w:iCs/>
                <w:sz w:val="15"/>
                <w:szCs w:val="15"/>
              </w:rPr>
              <w:t>Tfp_province</w:t>
            </w:r>
          </w:p>
        </w:tc>
      </w:tr>
      <w:tr>
        <w:tblPrEx>
          <w:tblCellMar>
            <w:top w:w="0" w:type="dxa"/>
            <w:left w:w="108" w:type="dxa"/>
            <w:bottom w:w="0" w:type="dxa"/>
            <w:right w:w="108" w:type="dxa"/>
          </w:tblCellMar>
        </w:tblPrEx>
        <w:trPr>
          <w:jc w:val="center"/>
        </w:trPr>
        <w:tc>
          <w:tcPr>
            <w:tcW w:w="749" w:type="pct"/>
            <w:tcBorders>
              <w:top w:val="single" w:color="auto" w:sz="4" w:space="0"/>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gravity</w:t>
            </w:r>
          </w:p>
        </w:tc>
        <w:tc>
          <w:tcPr>
            <w:tcW w:w="1069" w:type="dxa"/>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-1.765**</w:t>
            </w:r>
          </w:p>
        </w:tc>
        <w:tc>
          <w:tcPr>
            <w:tcW w:w="1128" w:type="dxa"/>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-1.792**</w:t>
            </w:r>
          </w:p>
        </w:tc>
        <w:tc>
          <w:tcPr>
            <w:tcW w:w="1069" w:type="dxa"/>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-0.914**</w:t>
            </w:r>
          </w:p>
        </w:tc>
        <w:tc>
          <w:tcPr>
            <w:tcW w:w="1130" w:type="dxa"/>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-0.654*</w:t>
            </w:r>
          </w:p>
        </w:tc>
        <w:tc>
          <w:tcPr>
            <w:tcW w:w="849" w:type="dxa"/>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-0.006</w:t>
            </w:r>
          </w:p>
        </w:tc>
        <w:tc>
          <w:tcPr>
            <w:tcW w:w="563" w:type="pct"/>
            <w:tcBorders>
              <w:top w:val="single" w:color="auto" w:sz="4" w:space="0"/>
              <w:left w:val="nil"/>
              <w:bottom w:val="nil"/>
              <w:right w:val="nil"/>
            </w:tcBorders>
          </w:tcPr>
          <w:p>
            <w:pPr>
              <w:jc w:val="center"/>
              <w:rPr>
                <w:rFonts w:ascii="Times New Roman" w:hAnsi="Times New Roman" w:eastAsia="仿宋" w:cs="Times New Roman"/>
                <w:sz w:val="15"/>
                <w:szCs w:val="15"/>
              </w:rPr>
            </w:pPr>
          </w:p>
        </w:tc>
        <w:tc>
          <w:tcPr>
            <w:tcW w:w="611" w:type="pct"/>
            <w:tcBorders>
              <w:top w:val="single" w:color="auto" w:sz="4" w:space="0"/>
              <w:left w:val="nil"/>
              <w:bottom w:val="nil"/>
              <w:right w:val="nil"/>
            </w:tcBorders>
          </w:tcPr>
          <w:p>
            <w:pPr>
              <w:jc w:val="center"/>
              <w:rPr>
                <w:rFonts w:ascii="Times New Roman" w:hAnsi="Times New Roman" w:eastAsia="仿宋" w:cs="Times New Roman"/>
                <w:sz w:val="15"/>
                <w:szCs w:val="15"/>
              </w:rPr>
            </w:pPr>
          </w:p>
        </w:tc>
      </w:tr>
      <w:tr>
        <w:tblPrEx>
          <w:tblCellMar>
            <w:top w:w="0" w:type="dxa"/>
            <w:left w:w="108" w:type="dxa"/>
            <w:bottom w:w="0" w:type="dxa"/>
            <w:right w:w="108" w:type="dxa"/>
          </w:tblCellMar>
        </w:tblPrEx>
        <w:trPr>
          <w:jc w:val="center"/>
        </w:trPr>
        <w:tc>
          <w:tcPr>
            <w:tcW w:w="749" w:type="pct"/>
            <w:tcBorders>
              <w:top w:val="nil"/>
              <w:left w:val="nil"/>
              <w:bottom w:val="nil"/>
              <w:right w:val="nil"/>
            </w:tcBorders>
          </w:tcPr>
          <w:p>
            <w:pPr>
              <w:jc w:val="center"/>
              <w:rPr>
                <w:rFonts w:ascii="Times New Roman" w:hAnsi="Times New Roman" w:eastAsia="仿宋" w:cs="Times New Roman"/>
                <w:i/>
                <w:iCs/>
                <w:sz w:val="15"/>
                <w:szCs w:val="15"/>
              </w:rPr>
            </w:pPr>
          </w:p>
        </w:tc>
        <w:tc>
          <w:tcPr>
            <w:tcW w:w="106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(0.863)</w:t>
            </w:r>
          </w:p>
        </w:tc>
        <w:tc>
          <w:tcPr>
            <w:tcW w:w="112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(0.701)</w:t>
            </w:r>
          </w:p>
        </w:tc>
        <w:tc>
          <w:tcPr>
            <w:tcW w:w="106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(0.375)</w:t>
            </w:r>
          </w:p>
        </w:tc>
        <w:tc>
          <w:tcPr>
            <w:tcW w:w="113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(0.362)</w:t>
            </w:r>
          </w:p>
        </w:tc>
        <w:tc>
          <w:tcPr>
            <w:tcW w:w="84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(0.004)</w:t>
            </w:r>
          </w:p>
        </w:tc>
        <w:tc>
          <w:tcPr>
            <w:tcW w:w="563" w:type="pct"/>
            <w:tcBorders>
              <w:top w:val="nil"/>
              <w:left w:val="nil"/>
              <w:bottom w:val="nil"/>
              <w:right w:val="nil"/>
            </w:tcBorders>
          </w:tcPr>
          <w:p>
            <w:pPr>
              <w:jc w:val="center"/>
              <w:rPr>
                <w:rFonts w:ascii="Times New Roman" w:hAnsi="Times New Roman" w:eastAsia="仿宋" w:cs="Times New Roman"/>
                <w:sz w:val="15"/>
                <w:szCs w:val="15"/>
              </w:rPr>
            </w:pPr>
          </w:p>
        </w:tc>
        <w:tc>
          <w:tcPr>
            <w:tcW w:w="611" w:type="pct"/>
            <w:tcBorders>
              <w:top w:val="nil"/>
              <w:left w:val="nil"/>
              <w:bottom w:val="nil"/>
              <w:right w:val="nil"/>
            </w:tcBorders>
          </w:tcPr>
          <w:p>
            <w:pPr>
              <w:jc w:val="center"/>
              <w:rPr>
                <w:rFonts w:ascii="Times New Roman" w:hAnsi="Times New Roman" w:eastAsia="仿宋" w:cs="Times New Roman"/>
                <w:sz w:val="15"/>
                <w:szCs w:val="15"/>
              </w:rPr>
            </w:pPr>
          </w:p>
        </w:tc>
      </w:tr>
      <w:tr>
        <w:tblPrEx>
          <w:tblCellMar>
            <w:top w:w="0" w:type="dxa"/>
            <w:left w:w="108" w:type="dxa"/>
            <w:bottom w:w="0" w:type="dxa"/>
            <w:right w:w="108" w:type="dxa"/>
          </w:tblCellMar>
        </w:tblPrEx>
        <w:trPr>
          <w:jc w:val="center"/>
        </w:trPr>
        <w:tc>
          <w:tcPr>
            <w:tcW w:w="749"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L.gravity</w:t>
            </w: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662" w:type="pct"/>
            <w:tcBorders>
              <w:top w:val="nil"/>
              <w:left w:val="nil"/>
              <w:bottom w:val="nil"/>
              <w:right w:val="nil"/>
            </w:tcBorders>
          </w:tcPr>
          <w:p>
            <w:pPr>
              <w:jc w:val="center"/>
              <w:rPr>
                <w:rFonts w:ascii="Times New Roman" w:hAnsi="Times New Roman" w:eastAsia="仿宋" w:cs="Times New Roman"/>
                <w:sz w:val="15"/>
                <w:szCs w:val="15"/>
              </w:rPr>
            </w:pP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662" w:type="pct"/>
            <w:tcBorders>
              <w:top w:val="nil"/>
              <w:left w:val="nil"/>
              <w:bottom w:val="nil"/>
              <w:right w:val="nil"/>
            </w:tcBorders>
          </w:tcPr>
          <w:p>
            <w:pPr>
              <w:jc w:val="center"/>
              <w:rPr>
                <w:rFonts w:ascii="Times New Roman" w:hAnsi="Times New Roman" w:eastAsia="仿宋" w:cs="Times New Roman"/>
                <w:sz w:val="15"/>
                <w:szCs w:val="15"/>
              </w:rPr>
            </w:pPr>
          </w:p>
        </w:tc>
        <w:tc>
          <w:tcPr>
            <w:tcW w:w="498" w:type="pct"/>
            <w:tcBorders>
              <w:top w:val="nil"/>
              <w:left w:val="nil"/>
              <w:bottom w:val="nil"/>
              <w:right w:val="nil"/>
            </w:tcBorders>
          </w:tcPr>
          <w:p>
            <w:pPr>
              <w:jc w:val="center"/>
              <w:rPr>
                <w:rFonts w:ascii="Times New Roman" w:hAnsi="Times New Roman" w:eastAsia="仿宋" w:cs="Times New Roman"/>
                <w:sz w:val="15"/>
                <w:szCs w:val="15"/>
              </w:rPr>
            </w:pPr>
          </w:p>
        </w:tc>
        <w:tc>
          <w:tcPr>
            <w:tcW w:w="96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-0.005*</w:t>
            </w:r>
          </w:p>
        </w:tc>
        <w:tc>
          <w:tcPr>
            <w:tcW w:w="1041" w:type="dxa"/>
            <w:tcBorders>
              <w:top w:val="nil"/>
              <w:left w:val="nil"/>
              <w:bottom w:val="nil"/>
              <w:right w:val="nil"/>
            </w:tcBorders>
          </w:tcPr>
          <w:p>
            <w:pPr>
              <w:jc w:val="center"/>
              <w:rPr>
                <w:rFonts w:ascii="Times New Roman" w:hAnsi="Times New Roman" w:eastAsia="仿宋" w:cs="Times New Roman"/>
                <w:sz w:val="15"/>
                <w:szCs w:val="15"/>
              </w:rPr>
            </w:pPr>
          </w:p>
        </w:tc>
      </w:tr>
      <w:tr>
        <w:tblPrEx>
          <w:tblCellMar>
            <w:top w:w="0" w:type="dxa"/>
            <w:left w:w="108" w:type="dxa"/>
            <w:bottom w:w="0" w:type="dxa"/>
            <w:right w:w="108" w:type="dxa"/>
          </w:tblCellMar>
        </w:tblPrEx>
        <w:trPr>
          <w:jc w:val="center"/>
        </w:trPr>
        <w:tc>
          <w:tcPr>
            <w:tcW w:w="749" w:type="pct"/>
            <w:tcBorders>
              <w:top w:val="nil"/>
              <w:left w:val="nil"/>
              <w:bottom w:val="nil"/>
              <w:right w:val="nil"/>
            </w:tcBorders>
          </w:tcPr>
          <w:p>
            <w:pPr>
              <w:jc w:val="center"/>
              <w:rPr>
                <w:rFonts w:ascii="Times New Roman" w:hAnsi="Times New Roman" w:eastAsia="仿宋" w:cs="Times New Roman"/>
                <w:i/>
                <w:iCs/>
                <w:sz w:val="15"/>
                <w:szCs w:val="15"/>
              </w:rPr>
            </w:pP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662" w:type="pct"/>
            <w:tcBorders>
              <w:top w:val="nil"/>
              <w:left w:val="nil"/>
              <w:bottom w:val="nil"/>
              <w:right w:val="nil"/>
            </w:tcBorders>
          </w:tcPr>
          <w:p>
            <w:pPr>
              <w:jc w:val="center"/>
              <w:rPr>
                <w:rFonts w:ascii="Times New Roman" w:hAnsi="Times New Roman" w:eastAsia="仿宋" w:cs="Times New Roman"/>
                <w:sz w:val="15"/>
                <w:szCs w:val="15"/>
              </w:rPr>
            </w:pP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662" w:type="pct"/>
            <w:tcBorders>
              <w:top w:val="nil"/>
              <w:left w:val="nil"/>
              <w:bottom w:val="nil"/>
              <w:right w:val="nil"/>
            </w:tcBorders>
          </w:tcPr>
          <w:p>
            <w:pPr>
              <w:jc w:val="center"/>
              <w:rPr>
                <w:rFonts w:ascii="Times New Roman" w:hAnsi="Times New Roman" w:eastAsia="仿宋" w:cs="Times New Roman"/>
                <w:sz w:val="15"/>
                <w:szCs w:val="15"/>
              </w:rPr>
            </w:pPr>
          </w:p>
        </w:tc>
        <w:tc>
          <w:tcPr>
            <w:tcW w:w="498" w:type="pct"/>
            <w:tcBorders>
              <w:top w:val="nil"/>
              <w:left w:val="nil"/>
              <w:bottom w:val="nil"/>
              <w:right w:val="nil"/>
            </w:tcBorders>
          </w:tcPr>
          <w:p>
            <w:pPr>
              <w:jc w:val="center"/>
              <w:rPr>
                <w:rFonts w:ascii="Times New Roman" w:hAnsi="Times New Roman" w:eastAsia="仿宋" w:cs="Times New Roman"/>
                <w:sz w:val="15"/>
                <w:szCs w:val="15"/>
              </w:rPr>
            </w:pPr>
          </w:p>
        </w:tc>
        <w:tc>
          <w:tcPr>
            <w:tcW w:w="96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(0.003)</w:t>
            </w:r>
          </w:p>
        </w:tc>
        <w:tc>
          <w:tcPr>
            <w:tcW w:w="1041" w:type="dxa"/>
            <w:tcBorders>
              <w:top w:val="nil"/>
              <w:left w:val="nil"/>
              <w:bottom w:val="nil"/>
              <w:right w:val="nil"/>
            </w:tcBorders>
          </w:tcPr>
          <w:p>
            <w:pPr>
              <w:jc w:val="center"/>
              <w:rPr>
                <w:rFonts w:ascii="Times New Roman" w:hAnsi="Times New Roman" w:eastAsia="仿宋" w:cs="Times New Roman"/>
                <w:sz w:val="15"/>
                <w:szCs w:val="15"/>
              </w:rPr>
            </w:pPr>
          </w:p>
        </w:tc>
      </w:tr>
      <w:tr>
        <w:tblPrEx>
          <w:tblCellMar>
            <w:top w:w="0" w:type="dxa"/>
            <w:left w:w="108" w:type="dxa"/>
            <w:bottom w:w="0" w:type="dxa"/>
            <w:right w:w="108" w:type="dxa"/>
          </w:tblCellMar>
        </w:tblPrEx>
        <w:trPr>
          <w:jc w:val="center"/>
        </w:trPr>
        <w:tc>
          <w:tcPr>
            <w:tcW w:w="749"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L2.gravity</w:t>
            </w: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662" w:type="pct"/>
            <w:tcBorders>
              <w:top w:val="nil"/>
              <w:left w:val="nil"/>
              <w:bottom w:val="nil"/>
              <w:right w:val="nil"/>
            </w:tcBorders>
          </w:tcPr>
          <w:p>
            <w:pPr>
              <w:jc w:val="center"/>
              <w:rPr>
                <w:rFonts w:ascii="Times New Roman" w:hAnsi="Times New Roman" w:eastAsia="仿宋" w:cs="Times New Roman"/>
                <w:sz w:val="15"/>
                <w:szCs w:val="15"/>
              </w:rPr>
            </w:pP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662" w:type="pct"/>
            <w:tcBorders>
              <w:top w:val="nil"/>
              <w:left w:val="nil"/>
              <w:bottom w:val="nil"/>
              <w:right w:val="nil"/>
            </w:tcBorders>
          </w:tcPr>
          <w:p>
            <w:pPr>
              <w:jc w:val="center"/>
              <w:rPr>
                <w:rFonts w:ascii="Times New Roman" w:hAnsi="Times New Roman" w:eastAsia="仿宋" w:cs="Times New Roman"/>
                <w:sz w:val="15"/>
                <w:szCs w:val="15"/>
              </w:rPr>
            </w:pPr>
          </w:p>
        </w:tc>
        <w:tc>
          <w:tcPr>
            <w:tcW w:w="498" w:type="pct"/>
            <w:tcBorders>
              <w:top w:val="nil"/>
              <w:left w:val="nil"/>
              <w:bottom w:val="nil"/>
              <w:right w:val="nil"/>
            </w:tcBorders>
          </w:tcPr>
          <w:p>
            <w:pPr>
              <w:jc w:val="center"/>
              <w:rPr>
                <w:rFonts w:ascii="Times New Roman" w:hAnsi="Times New Roman" w:eastAsia="仿宋" w:cs="Times New Roman"/>
                <w:sz w:val="15"/>
                <w:szCs w:val="15"/>
              </w:rPr>
            </w:pPr>
          </w:p>
        </w:tc>
        <w:tc>
          <w:tcPr>
            <w:tcW w:w="960" w:type="dxa"/>
            <w:tcBorders>
              <w:top w:val="nil"/>
              <w:left w:val="nil"/>
              <w:bottom w:val="nil"/>
              <w:right w:val="nil"/>
            </w:tcBorders>
          </w:tcPr>
          <w:p>
            <w:pPr>
              <w:jc w:val="center"/>
              <w:rPr>
                <w:rFonts w:ascii="Times New Roman" w:hAnsi="Times New Roman" w:eastAsia="仿宋" w:cs="Times New Roman"/>
                <w:sz w:val="15"/>
                <w:szCs w:val="15"/>
              </w:rPr>
            </w:pPr>
          </w:p>
        </w:tc>
        <w:tc>
          <w:tcPr>
            <w:tcW w:w="104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-0.003**</w:t>
            </w:r>
          </w:p>
        </w:tc>
      </w:tr>
      <w:tr>
        <w:tblPrEx>
          <w:tblCellMar>
            <w:top w:w="0" w:type="dxa"/>
            <w:left w:w="108" w:type="dxa"/>
            <w:bottom w:w="0" w:type="dxa"/>
            <w:right w:w="108" w:type="dxa"/>
          </w:tblCellMar>
        </w:tblPrEx>
        <w:trPr>
          <w:jc w:val="center"/>
        </w:trPr>
        <w:tc>
          <w:tcPr>
            <w:tcW w:w="749" w:type="pct"/>
            <w:tcBorders>
              <w:top w:val="nil"/>
              <w:left w:val="nil"/>
              <w:bottom w:val="nil"/>
              <w:right w:val="nil"/>
            </w:tcBorders>
          </w:tcPr>
          <w:p>
            <w:pPr>
              <w:jc w:val="center"/>
              <w:rPr>
                <w:rFonts w:ascii="Times New Roman" w:hAnsi="Times New Roman" w:eastAsia="仿宋" w:cs="Times New Roman"/>
                <w:i/>
                <w:iCs/>
                <w:sz w:val="15"/>
                <w:szCs w:val="15"/>
              </w:rPr>
            </w:pP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662" w:type="pct"/>
            <w:tcBorders>
              <w:top w:val="nil"/>
              <w:left w:val="nil"/>
              <w:bottom w:val="nil"/>
              <w:right w:val="nil"/>
            </w:tcBorders>
          </w:tcPr>
          <w:p>
            <w:pPr>
              <w:jc w:val="center"/>
              <w:rPr>
                <w:rFonts w:ascii="Times New Roman" w:hAnsi="Times New Roman" w:eastAsia="仿宋" w:cs="Times New Roman"/>
                <w:sz w:val="15"/>
                <w:szCs w:val="15"/>
              </w:rPr>
            </w:pP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662" w:type="pct"/>
            <w:tcBorders>
              <w:top w:val="nil"/>
              <w:left w:val="nil"/>
              <w:bottom w:val="nil"/>
              <w:right w:val="nil"/>
            </w:tcBorders>
          </w:tcPr>
          <w:p>
            <w:pPr>
              <w:jc w:val="center"/>
              <w:rPr>
                <w:rFonts w:ascii="Times New Roman" w:hAnsi="Times New Roman" w:eastAsia="仿宋" w:cs="Times New Roman"/>
                <w:sz w:val="15"/>
                <w:szCs w:val="15"/>
              </w:rPr>
            </w:pPr>
          </w:p>
        </w:tc>
        <w:tc>
          <w:tcPr>
            <w:tcW w:w="498" w:type="pct"/>
            <w:tcBorders>
              <w:top w:val="nil"/>
              <w:left w:val="nil"/>
              <w:bottom w:val="nil"/>
              <w:right w:val="nil"/>
            </w:tcBorders>
          </w:tcPr>
          <w:p>
            <w:pPr>
              <w:jc w:val="center"/>
              <w:rPr>
                <w:rFonts w:ascii="Times New Roman" w:hAnsi="Times New Roman" w:eastAsia="仿宋" w:cs="Times New Roman"/>
                <w:sz w:val="15"/>
                <w:szCs w:val="15"/>
              </w:rPr>
            </w:pPr>
          </w:p>
        </w:tc>
        <w:tc>
          <w:tcPr>
            <w:tcW w:w="960" w:type="dxa"/>
            <w:tcBorders>
              <w:top w:val="nil"/>
              <w:left w:val="nil"/>
              <w:bottom w:val="nil"/>
              <w:right w:val="nil"/>
            </w:tcBorders>
          </w:tcPr>
          <w:p>
            <w:pPr>
              <w:jc w:val="center"/>
              <w:rPr>
                <w:rFonts w:ascii="Times New Roman" w:hAnsi="Times New Roman" w:eastAsia="仿宋" w:cs="Times New Roman"/>
                <w:sz w:val="15"/>
                <w:szCs w:val="15"/>
              </w:rPr>
            </w:pPr>
          </w:p>
        </w:tc>
        <w:tc>
          <w:tcPr>
            <w:tcW w:w="104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(0.001)</w:t>
            </w:r>
          </w:p>
        </w:tc>
      </w:tr>
      <w:tr>
        <w:tblPrEx>
          <w:tblCellMar>
            <w:top w:w="0" w:type="dxa"/>
            <w:left w:w="108" w:type="dxa"/>
            <w:bottom w:w="0" w:type="dxa"/>
            <w:right w:w="108" w:type="dxa"/>
          </w:tblCellMar>
        </w:tblPrEx>
        <w:trPr>
          <w:jc w:val="center"/>
        </w:trPr>
        <w:tc>
          <w:tcPr>
            <w:tcW w:w="749"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kern w:val="0"/>
                <w:sz w:val="15"/>
                <w:szCs w:val="15"/>
              </w:rPr>
              <w:t>gdp</w:t>
            </w: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2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2.185</w:t>
            </w: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3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5.263***</w:t>
            </w:r>
          </w:p>
        </w:tc>
        <w:tc>
          <w:tcPr>
            <w:tcW w:w="84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-0.087</w:t>
            </w:r>
          </w:p>
        </w:tc>
        <w:tc>
          <w:tcPr>
            <w:tcW w:w="96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0.038</w:t>
            </w:r>
          </w:p>
        </w:tc>
        <w:tc>
          <w:tcPr>
            <w:tcW w:w="104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0.007</w:t>
            </w:r>
          </w:p>
        </w:tc>
      </w:tr>
      <w:tr>
        <w:tblPrEx>
          <w:tblCellMar>
            <w:top w:w="0" w:type="dxa"/>
            <w:left w:w="108" w:type="dxa"/>
            <w:bottom w:w="0" w:type="dxa"/>
            <w:right w:w="108" w:type="dxa"/>
          </w:tblCellMar>
        </w:tblPrEx>
        <w:trPr>
          <w:jc w:val="center"/>
        </w:trPr>
        <w:tc>
          <w:tcPr>
            <w:tcW w:w="749" w:type="pct"/>
            <w:tcBorders>
              <w:top w:val="nil"/>
              <w:left w:val="nil"/>
              <w:bottom w:val="nil"/>
              <w:right w:val="nil"/>
            </w:tcBorders>
          </w:tcPr>
          <w:p>
            <w:pPr>
              <w:jc w:val="center"/>
              <w:rPr>
                <w:rFonts w:ascii="Times New Roman" w:hAnsi="Times New Roman" w:eastAsia="仿宋" w:cs="Times New Roman"/>
                <w:i/>
                <w:iCs/>
                <w:sz w:val="15"/>
                <w:szCs w:val="15"/>
              </w:rPr>
            </w:pP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2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(3.902)</w:t>
            </w: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3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(1.861)</w:t>
            </w:r>
          </w:p>
        </w:tc>
        <w:tc>
          <w:tcPr>
            <w:tcW w:w="84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(0.061)</w:t>
            </w:r>
          </w:p>
        </w:tc>
        <w:tc>
          <w:tcPr>
            <w:tcW w:w="96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(0.031)</w:t>
            </w:r>
          </w:p>
        </w:tc>
        <w:tc>
          <w:tcPr>
            <w:tcW w:w="104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(0.011)</w:t>
            </w:r>
          </w:p>
        </w:tc>
      </w:tr>
      <w:tr>
        <w:tblPrEx>
          <w:tblCellMar>
            <w:top w:w="0" w:type="dxa"/>
            <w:left w:w="108" w:type="dxa"/>
            <w:bottom w:w="0" w:type="dxa"/>
            <w:right w:w="108" w:type="dxa"/>
          </w:tblCellMar>
        </w:tblPrEx>
        <w:trPr>
          <w:jc w:val="center"/>
        </w:trPr>
        <w:tc>
          <w:tcPr>
            <w:tcW w:w="749"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peo</w:t>
            </w: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2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13.603**</w:t>
            </w: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3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8.028***</w:t>
            </w:r>
          </w:p>
        </w:tc>
        <w:tc>
          <w:tcPr>
            <w:tcW w:w="84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0.033</w:t>
            </w:r>
          </w:p>
        </w:tc>
        <w:tc>
          <w:tcPr>
            <w:tcW w:w="96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0.059*</w:t>
            </w:r>
          </w:p>
        </w:tc>
        <w:tc>
          <w:tcPr>
            <w:tcW w:w="104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0.001</w:t>
            </w:r>
          </w:p>
        </w:tc>
      </w:tr>
      <w:tr>
        <w:tblPrEx>
          <w:tblCellMar>
            <w:top w:w="0" w:type="dxa"/>
            <w:left w:w="108" w:type="dxa"/>
            <w:bottom w:w="0" w:type="dxa"/>
            <w:right w:w="108" w:type="dxa"/>
          </w:tblCellMar>
        </w:tblPrEx>
        <w:trPr>
          <w:jc w:val="center"/>
        </w:trPr>
        <w:tc>
          <w:tcPr>
            <w:tcW w:w="749" w:type="pct"/>
            <w:tcBorders>
              <w:top w:val="nil"/>
              <w:left w:val="nil"/>
              <w:bottom w:val="nil"/>
              <w:right w:val="nil"/>
            </w:tcBorders>
          </w:tcPr>
          <w:p>
            <w:pPr>
              <w:jc w:val="center"/>
              <w:rPr>
                <w:rFonts w:ascii="Times New Roman" w:hAnsi="Times New Roman" w:eastAsia="仿宋" w:cs="Times New Roman"/>
                <w:i/>
                <w:iCs/>
                <w:sz w:val="15"/>
                <w:szCs w:val="15"/>
              </w:rPr>
            </w:pP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2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(6.897)</w:t>
            </w: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3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(2.844)</w:t>
            </w:r>
          </w:p>
        </w:tc>
        <w:tc>
          <w:tcPr>
            <w:tcW w:w="84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(0.042)</w:t>
            </w:r>
          </w:p>
        </w:tc>
        <w:tc>
          <w:tcPr>
            <w:tcW w:w="96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(0.036)</w:t>
            </w:r>
          </w:p>
        </w:tc>
        <w:tc>
          <w:tcPr>
            <w:tcW w:w="104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(0.015)</w:t>
            </w:r>
          </w:p>
        </w:tc>
      </w:tr>
      <w:tr>
        <w:tblPrEx>
          <w:tblCellMar>
            <w:top w:w="0" w:type="dxa"/>
            <w:left w:w="108" w:type="dxa"/>
            <w:bottom w:w="0" w:type="dxa"/>
            <w:right w:w="108" w:type="dxa"/>
          </w:tblCellMar>
        </w:tblPrEx>
        <w:trPr>
          <w:jc w:val="center"/>
        </w:trPr>
        <w:tc>
          <w:tcPr>
            <w:tcW w:w="749"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kern w:val="0"/>
                <w:sz w:val="15"/>
                <w:szCs w:val="15"/>
              </w:rPr>
              <w:t>per_industry2</w:t>
            </w: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2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0.351**</w:t>
            </w: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3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0.368***</w:t>
            </w:r>
          </w:p>
        </w:tc>
        <w:tc>
          <w:tcPr>
            <w:tcW w:w="84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0.000</w:t>
            </w:r>
          </w:p>
        </w:tc>
        <w:tc>
          <w:tcPr>
            <w:tcW w:w="96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-0.000</w:t>
            </w:r>
          </w:p>
        </w:tc>
        <w:tc>
          <w:tcPr>
            <w:tcW w:w="104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-0.000</w:t>
            </w:r>
          </w:p>
        </w:tc>
      </w:tr>
      <w:tr>
        <w:tblPrEx>
          <w:tblCellMar>
            <w:top w:w="0" w:type="dxa"/>
            <w:left w:w="108" w:type="dxa"/>
            <w:bottom w:w="0" w:type="dxa"/>
            <w:right w:w="108" w:type="dxa"/>
          </w:tblCellMar>
        </w:tblPrEx>
        <w:trPr>
          <w:jc w:val="center"/>
        </w:trPr>
        <w:tc>
          <w:tcPr>
            <w:tcW w:w="749" w:type="pct"/>
            <w:tcBorders>
              <w:top w:val="nil"/>
              <w:left w:val="nil"/>
              <w:bottom w:val="nil"/>
              <w:right w:val="nil"/>
            </w:tcBorders>
          </w:tcPr>
          <w:p>
            <w:pPr>
              <w:jc w:val="center"/>
              <w:rPr>
                <w:rFonts w:ascii="Times New Roman" w:hAnsi="Times New Roman" w:eastAsia="仿宋" w:cs="Times New Roman"/>
                <w:i/>
                <w:iCs/>
                <w:sz w:val="15"/>
                <w:szCs w:val="15"/>
              </w:rPr>
            </w:pP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2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(0.144)</w:t>
            </w: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3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(0.071)</w:t>
            </w:r>
          </w:p>
        </w:tc>
        <w:tc>
          <w:tcPr>
            <w:tcW w:w="84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(0.001)</w:t>
            </w:r>
          </w:p>
        </w:tc>
        <w:tc>
          <w:tcPr>
            <w:tcW w:w="96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(0.001)</w:t>
            </w:r>
          </w:p>
        </w:tc>
        <w:tc>
          <w:tcPr>
            <w:tcW w:w="104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(0.000)</w:t>
            </w:r>
          </w:p>
        </w:tc>
      </w:tr>
      <w:tr>
        <w:tblPrEx>
          <w:tblCellMar>
            <w:top w:w="0" w:type="dxa"/>
            <w:left w:w="108" w:type="dxa"/>
            <w:bottom w:w="0" w:type="dxa"/>
            <w:right w:w="108" w:type="dxa"/>
          </w:tblCellMar>
        </w:tblPrEx>
        <w:trPr>
          <w:jc w:val="center"/>
        </w:trPr>
        <w:tc>
          <w:tcPr>
            <w:tcW w:w="749"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kern w:val="0"/>
                <w:sz w:val="15"/>
                <w:szCs w:val="15"/>
              </w:rPr>
              <w:t>per_industry3</w:t>
            </w: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2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0.491***</w:t>
            </w: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3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0.592***</w:t>
            </w:r>
          </w:p>
        </w:tc>
        <w:tc>
          <w:tcPr>
            <w:tcW w:w="84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0.000</w:t>
            </w:r>
          </w:p>
        </w:tc>
        <w:tc>
          <w:tcPr>
            <w:tcW w:w="96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0.001</w:t>
            </w:r>
          </w:p>
        </w:tc>
        <w:tc>
          <w:tcPr>
            <w:tcW w:w="104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0.000</w:t>
            </w:r>
          </w:p>
        </w:tc>
      </w:tr>
      <w:tr>
        <w:tblPrEx>
          <w:tblCellMar>
            <w:top w:w="0" w:type="dxa"/>
            <w:left w:w="108" w:type="dxa"/>
            <w:bottom w:w="0" w:type="dxa"/>
            <w:right w:w="108" w:type="dxa"/>
          </w:tblCellMar>
        </w:tblPrEx>
        <w:trPr>
          <w:jc w:val="center"/>
        </w:trPr>
        <w:tc>
          <w:tcPr>
            <w:tcW w:w="749" w:type="pct"/>
            <w:tcBorders>
              <w:top w:val="nil"/>
              <w:left w:val="nil"/>
              <w:bottom w:val="nil"/>
              <w:right w:val="nil"/>
            </w:tcBorders>
          </w:tcPr>
          <w:p>
            <w:pPr>
              <w:jc w:val="center"/>
              <w:rPr>
                <w:rFonts w:ascii="Times New Roman" w:hAnsi="Times New Roman" w:eastAsia="仿宋" w:cs="Times New Roman"/>
                <w:i/>
                <w:iCs/>
                <w:sz w:val="15"/>
                <w:szCs w:val="15"/>
              </w:rPr>
            </w:pP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2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(0.175)</w:t>
            </w: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3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(0.089)</w:t>
            </w:r>
          </w:p>
        </w:tc>
        <w:tc>
          <w:tcPr>
            <w:tcW w:w="84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(0.002)</w:t>
            </w:r>
          </w:p>
        </w:tc>
        <w:tc>
          <w:tcPr>
            <w:tcW w:w="96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(0.001)</w:t>
            </w:r>
          </w:p>
        </w:tc>
        <w:tc>
          <w:tcPr>
            <w:tcW w:w="104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(0.000)</w:t>
            </w:r>
          </w:p>
        </w:tc>
      </w:tr>
      <w:tr>
        <w:tblPrEx>
          <w:tblCellMar>
            <w:top w:w="0" w:type="dxa"/>
            <w:left w:w="108" w:type="dxa"/>
            <w:bottom w:w="0" w:type="dxa"/>
            <w:right w:w="108" w:type="dxa"/>
          </w:tblCellMar>
        </w:tblPrEx>
        <w:trPr>
          <w:jc w:val="center"/>
        </w:trPr>
        <w:tc>
          <w:tcPr>
            <w:tcW w:w="749"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kern w:val="0"/>
                <w:sz w:val="15"/>
                <w:szCs w:val="15"/>
              </w:rPr>
              <w:t>Fix_inves</w:t>
            </w:r>
            <w:r>
              <w:rPr>
                <w:rFonts w:ascii="Times New Roman" w:hAnsi="Times New Roman" w:eastAsia="仿宋" w:cs="Times New Roman"/>
                <w:i/>
                <w:iCs/>
                <w:sz w:val="15"/>
                <w:szCs w:val="15"/>
              </w:rPr>
              <w:t>t</w:t>
            </w: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2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7.737***</w:t>
            </w: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3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9.599***</w:t>
            </w:r>
          </w:p>
        </w:tc>
        <w:tc>
          <w:tcPr>
            <w:tcW w:w="84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0.003</w:t>
            </w:r>
          </w:p>
        </w:tc>
        <w:tc>
          <w:tcPr>
            <w:tcW w:w="96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-0.024**</w:t>
            </w:r>
          </w:p>
        </w:tc>
        <w:tc>
          <w:tcPr>
            <w:tcW w:w="104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-0.017***</w:t>
            </w:r>
          </w:p>
        </w:tc>
      </w:tr>
      <w:tr>
        <w:tblPrEx>
          <w:tblCellMar>
            <w:top w:w="0" w:type="dxa"/>
            <w:left w:w="108" w:type="dxa"/>
            <w:bottom w:w="0" w:type="dxa"/>
            <w:right w:w="108" w:type="dxa"/>
          </w:tblCellMar>
        </w:tblPrEx>
        <w:trPr>
          <w:jc w:val="center"/>
        </w:trPr>
        <w:tc>
          <w:tcPr>
            <w:tcW w:w="749" w:type="pct"/>
            <w:tcBorders>
              <w:top w:val="nil"/>
              <w:left w:val="nil"/>
              <w:bottom w:val="nil"/>
              <w:right w:val="nil"/>
            </w:tcBorders>
          </w:tcPr>
          <w:p>
            <w:pPr>
              <w:jc w:val="center"/>
              <w:rPr>
                <w:rFonts w:ascii="Times New Roman" w:hAnsi="Times New Roman" w:eastAsia="仿宋" w:cs="Times New Roman"/>
                <w:i/>
                <w:iCs/>
                <w:sz w:val="15"/>
                <w:szCs w:val="15"/>
              </w:rPr>
            </w:pP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2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(1.222)</w:t>
            </w: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3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(0.733)</w:t>
            </w:r>
          </w:p>
        </w:tc>
        <w:tc>
          <w:tcPr>
            <w:tcW w:w="84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(0.018)</w:t>
            </w:r>
          </w:p>
        </w:tc>
        <w:tc>
          <w:tcPr>
            <w:tcW w:w="96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(0.012)</w:t>
            </w:r>
          </w:p>
        </w:tc>
        <w:tc>
          <w:tcPr>
            <w:tcW w:w="104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(0.005)</w:t>
            </w:r>
          </w:p>
        </w:tc>
      </w:tr>
      <w:tr>
        <w:tblPrEx>
          <w:tblCellMar>
            <w:top w:w="0" w:type="dxa"/>
            <w:left w:w="108" w:type="dxa"/>
            <w:bottom w:w="0" w:type="dxa"/>
            <w:right w:w="108" w:type="dxa"/>
          </w:tblCellMar>
        </w:tblPrEx>
        <w:trPr>
          <w:jc w:val="center"/>
        </w:trPr>
        <w:tc>
          <w:tcPr>
            <w:tcW w:w="749"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fdi</w:t>
            </w: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2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3.685***</w:t>
            </w: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3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0.039</w:t>
            </w:r>
          </w:p>
        </w:tc>
        <w:tc>
          <w:tcPr>
            <w:tcW w:w="84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0.004</w:t>
            </w:r>
          </w:p>
        </w:tc>
        <w:tc>
          <w:tcPr>
            <w:tcW w:w="96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0.001</w:t>
            </w:r>
          </w:p>
        </w:tc>
        <w:tc>
          <w:tcPr>
            <w:tcW w:w="104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-0.004**</w:t>
            </w:r>
          </w:p>
        </w:tc>
      </w:tr>
      <w:tr>
        <w:tblPrEx>
          <w:tblCellMar>
            <w:top w:w="0" w:type="dxa"/>
            <w:left w:w="108" w:type="dxa"/>
            <w:bottom w:w="0" w:type="dxa"/>
            <w:right w:w="108" w:type="dxa"/>
          </w:tblCellMar>
        </w:tblPrEx>
        <w:trPr>
          <w:jc w:val="center"/>
        </w:trPr>
        <w:tc>
          <w:tcPr>
            <w:tcW w:w="749" w:type="pct"/>
            <w:tcBorders>
              <w:top w:val="nil"/>
              <w:left w:val="nil"/>
              <w:bottom w:val="nil"/>
              <w:right w:val="nil"/>
            </w:tcBorders>
          </w:tcPr>
          <w:p>
            <w:pPr>
              <w:jc w:val="center"/>
              <w:rPr>
                <w:rFonts w:ascii="Times New Roman" w:hAnsi="Times New Roman" w:eastAsia="仿宋" w:cs="Times New Roman"/>
                <w:i/>
                <w:iCs/>
                <w:sz w:val="15"/>
                <w:szCs w:val="15"/>
              </w:rPr>
            </w:pP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2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(0.762)</w:t>
            </w:r>
          </w:p>
        </w:tc>
        <w:tc>
          <w:tcPr>
            <w:tcW w:w="627" w:type="pct"/>
            <w:tcBorders>
              <w:top w:val="nil"/>
              <w:left w:val="nil"/>
              <w:bottom w:val="nil"/>
              <w:right w:val="nil"/>
            </w:tcBorders>
          </w:tcPr>
          <w:p>
            <w:pPr>
              <w:jc w:val="center"/>
              <w:rPr>
                <w:rFonts w:ascii="Times New Roman" w:hAnsi="Times New Roman" w:eastAsia="仿宋" w:cs="Times New Roman"/>
                <w:sz w:val="15"/>
                <w:szCs w:val="15"/>
              </w:rPr>
            </w:pPr>
          </w:p>
        </w:tc>
        <w:tc>
          <w:tcPr>
            <w:tcW w:w="113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(0.491)</w:t>
            </w:r>
          </w:p>
        </w:tc>
        <w:tc>
          <w:tcPr>
            <w:tcW w:w="84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(0.008)</w:t>
            </w:r>
          </w:p>
        </w:tc>
        <w:tc>
          <w:tcPr>
            <w:tcW w:w="96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(0.005)</w:t>
            </w:r>
          </w:p>
        </w:tc>
        <w:tc>
          <w:tcPr>
            <w:tcW w:w="104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(0.002)</w:t>
            </w:r>
          </w:p>
        </w:tc>
      </w:tr>
      <w:tr>
        <w:tblPrEx>
          <w:tblCellMar>
            <w:top w:w="0" w:type="dxa"/>
            <w:left w:w="108" w:type="dxa"/>
            <w:bottom w:w="0" w:type="dxa"/>
            <w:right w:w="108" w:type="dxa"/>
          </w:tblCellMar>
        </w:tblPrEx>
        <w:trPr>
          <w:jc w:val="center"/>
        </w:trPr>
        <w:tc>
          <w:tcPr>
            <w:tcW w:w="749"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cons</w:t>
            </w:r>
          </w:p>
        </w:tc>
        <w:tc>
          <w:tcPr>
            <w:tcW w:w="106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52.978***</w:t>
            </w:r>
          </w:p>
        </w:tc>
        <w:tc>
          <w:tcPr>
            <w:tcW w:w="112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-206.022***</w:t>
            </w:r>
          </w:p>
        </w:tc>
        <w:tc>
          <w:tcPr>
            <w:tcW w:w="106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51.624***</w:t>
            </w:r>
          </w:p>
        </w:tc>
        <w:tc>
          <w:tcPr>
            <w:tcW w:w="113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-188.460***</w:t>
            </w:r>
          </w:p>
        </w:tc>
        <w:tc>
          <w:tcPr>
            <w:tcW w:w="84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0.831*</w:t>
            </w:r>
          </w:p>
        </w:tc>
        <w:tc>
          <w:tcPr>
            <w:tcW w:w="96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-0.256</w:t>
            </w:r>
          </w:p>
        </w:tc>
        <w:tc>
          <w:tcPr>
            <w:tcW w:w="104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0.499***</w:t>
            </w:r>
          </w:p>
        </w:tc>
      </w:tr>
      <w:tr>
        <w:tblPrEx>
          <w:tblCellMar>
            <w:top w:w="0" w:type="dxa"/>
            <w:left w:w="108" w:type="dxa"/>
            <w:bottom w:w="0" w:type="dxa"/>
            <w:right w:w="108" w:type="dxa"/>
          </w:tblCellMar>
        </w:tblPrEx>
        <w:trPr>
          <w:jc w:val="center"/>
        </w:trPr>
        <w:tc>
          <w:tcPr>
            <w:tcW w:w="749" w:type="pct"/>
            <w:tcBorders>
              <w:top w:val="nil"/>
              <w:left w:val="nil"/>
              <w:bottom w:val="nil"/>
              <w:right w:val="nil"/>
            </w:tcBorders>
          </w:tcPr>
          <w:p>
            <w:pPr>
              <w:jc w:val="center"/>
              <w:rPr>
                <w:rFonts w:ascii="Times New Roman" w:hAnsi="Times New Roman" w:eastAsia="仿宋" w:cs="Times New Roman"/>
                <w:i/>
                <w:iCs/>
                <w:sz w:val="15"/>
                <w:szCs w:val="15"/>
              </w:rPr>
            </w:pPr>
          </w:p>
        </w:tc>
        <w:tc>
          <w:tcPr>
            <w:tcW w:w="106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(1.373)</w:t>
            </w:r>
          </w:p>
        </w:tc>
        <w:tc>
          <w:tcPr>
            <w:tcW w:w="112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(63.224)</w:t>
            </w:r>
          </w:p>
        </w:tc>
        <w:tc>
          <w:tcPr>
            <w:tcW w:w="106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(0.606)</w:t>
            </w:r>
          </w:p>
        </w:tc>
        <w:tc>
          <w:tcPr>
            <w:tcW w:w="113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(27.386)</w:t>
            </w:r>
          </w:p>
        </w:tc>
        <w:tc>
          <w:tcPr>
            <w:tcW w:w="84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(0.458)</w:t>
            </w:r>
          </w:p>
        </w:tc>
        <w:tc>
          <w:tcPr>
            <w:tcW w:w="96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(0.352)</w:t>
            </w:r>
          </w:p>
        </w:tc>
        <w:tc>
          <w:tcPr>
            <w:tcW w:w="104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(0.152)</w:t>
            </w:r>
          </w:p>
        </w:tc>
      </w:tr>
      <w:tr>
        <w:tblPrEx>
          <w:tblCellMar>
            <w:top w:w="0" w:type="dxa"/>
            <w:left w:w="108" w:type="dxa"/>
            <w:bottom w:w="0" w:type="dxa"/>
            <w:right w:w="108" w:type="dxa"/>
          </w:tblCellMar>
        </w:tblPrEx>
        <w:trPr>
          <w:jc w:val="center"/>
        </w:trPr>
        <w:tc>
          <w:tcPr>
            <w:tcW w:w="749"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城市固定效应</w:t>
            </w:r>
          </w:p>
        </w:tc>
        <w:tc>
          <w:tcPr>
            <w:tcW w:w="62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662"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62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662"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498"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5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61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r>
      <w:tr>
        <w:tblPrEx>
          <w:tblCellMar>
            <w:top w:w="0" w:type="dxa"/>
            <w:left w:w="108" w:type="dxa"/>
            <w:bottom w:w="0" w:type="dxa"/>
            <w:right w:w="108" w:type="dxa"/>
          </w:tblCellMar>
        </w:tblPrEx>
        <w:trPr>
          <w:jc w:val="center"/>
        </w:trPr>
        <w:tc>
          <w:tcPr>
            <w:tcW w:w="749"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年份固定效应</w:t>
            </w:r>
          </w:p>
        </w:tc>
        <w:tc>
          <w:tcPr>
            <w:tcW w:w="62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662"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62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662"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498"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5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61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r>
      <w:tr>
        <w:tblPrEx>
          <w:tblCellMar>
            <w:top w:w="0" w:type="dxa"/>
            <w:left w:w="108" w:type="dxa"/>
            <w:bottom w:w="0" w:type="dxa"/>
            <w:right w:w="108" w:type="dxa"/>
          </w:tblCellMar>
        </w:tblPrEx>
        <w:trPr>
          <w:jc w:val="center"/>
        </w:trPr>
        <w:tc>
          <w:tcPr>
            <w:tcW w:w="749"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省份固定效应</w:t>
            </w:r>
          </w:p>
        </w:tc>
        <w:tc>
          <w:tcPr>
            <w:tcW w:w="106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12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069" w:type="dxa"/>
            <w:tcBorders>
              <w:top w:val="nil"/>
              <w:left w:val="nil"/>
              <w:bottom w:val="nil"/>
              <w:right w:val="nil"/>
            </w:tcBorders>
          </w:tcPr>
          <w:p>
            <w:pPr>
              <w:jc w:val="center"/>
              <w:rPr>
                <w:rFonts w:ascii="Times New Roman" w:hAnsi="Times New Roman" w:eastAsia="仿宋" w:cs="Times New Roman"/>
                <w:sz w:val="15"/>
                <w:szCs w:val="15"/>
              </w:rPr>
            </w:pPr>
            <w:bookmarkStart w:id="9" w:name="OLE_LINK16"/>
            <w:r>
              <w:rPr>
                <w:rFonts w:ascii="Times New Roman" w:hAnsi="Times New Roman" w:eastAsia="仿宋" w:cs="Times New Roman"/>
                <w:sz w:val="15"/>
                <w:szCs w:val="15"/>
              </w:rPr>
              <w:t>×</w:t>
            </w:r>
            <w:bookmarkEnd w:id="9"/>
          </w:p>
        </w:tc>
        <w:tc>
          <w:tcPr>
            <w:tcW w:w="662"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498"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56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61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r>
      <w:tr>
        <w:tblPrEx>
          <w:tblCellMar>
            <w:top w:w="0" w:type="dxa"/>
            <w:left w:w="108" w:type="dxa"/>
            <w:bottom w:w="0" w:type="dxa"/>
            <w:right w:w="108" w:type="dxa"/>
          </w:tblCellMar>
        </w:tblPrEx>
        <w:trPr>
          <w:jc w:val="center"/>
        </w:trPr>
        <w:tc>
          <w:tcPr>
            <w:tcW w:w="749" w:type="pct"/>
            <w:tcBorders>
              <w:top w:val="nil"/>
              <w:left w:val="nil"/>
              <w:bottom w:val="nil"/>
              <w:right w:val="nil"/>
            </w:tcBorders>
          </w:tcPr>
          <w:p>
            <w:pPr>
              <w:jc w:val="center"/>
              <w:rPr>
                <w:rFonts w:ascii="Times New Roman" w:hAnsi="Times New Roman" w:eastAsia="仿宋" w:cs="Times New Roman"/>
                <w:sz w:val="15"/>
                <w:szCs w:val="15"/>
                <w:vertAlign w:val="superscript"/>
              </w:rPr>
            </w:pPr>
            <w:r>
              <w:rPr>
                <w:rFonts w:ascii="Times New Roman" w:hAnsi="Times New Roman" w:eastAsia="仿宋" w:cs="Times New Roman"/>
                <w:sz w:val="15"/>
                <w:szCs w:val="15"/>
              </w:rPr>
              <w:t>R</w:t>
            </w:r>
            <w:r>
              <w:rPr>
                <w:rFonts w:ascii="Times New Roman" w:hAnsi="Times New Roman" w:eastAsia="仿宋" w:cs="Times New Roman"/>
                <w:sz w:val="15"/>
                <w:szCs w:val="15"/>
                <w:vertAlign w:val="superscript"/>
              </w:rPr>
              <w:t>2</w:t>
            </w:r>
          </w:p>
        </w:tc>
        <w:tc>
          <w:tcPr>
            <w:tcW w:w="106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0.893</w:t>
            </w:r>
          </w:p>
        </w:tc>
        <w:tc>
          <w:tcPr>
            <w:tcW w:w="112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0.899</w:t>
            </w:r>
          </w:p>
        </w:tc>
        <w:tc>
          <w:tcPr>
            <w:tcW w:w="106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0.932</w:t>
            </w:r>
          </w:p>
        </w:tc>
        <w:tc>
          <w:tcPr>
            <w:tcW w:w="113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0.937</w:t>
            </w:r>
          </w:p>
        </w:tc>
        <w:tc>
          <w:tcPr>
            <w:tcW w:w="84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0.954</w:t>
            </w:r>
          </w:p>
        </w:tc>
        <w:tc>
          <w:tcPr>
            <w:tcW w:w="96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0.987</w:t>
            </w:r>
          </w:p>
        </w:tc>
        <w:tc>
          <w:tcPr>
            <w:tcW w:w="104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0.997</w:t>
            </w:r>
          </w:p>
        </w:tc>
      </w:tr>
      <w:tr>
        <w:tblPrEx>
          <w:tblCellMar>
            <w:top w:w="0" w:type="dxa"/>
            <w:left w:w="108" w:type="dxa"/>
            <w:bottom w:w="0" w:type="dxa"/>
            <w:right w:w="108" w:type="dxa"/>
          </w:tblCellMar>
        </w:tblPrEx>
        <w:trPr>
          <w:jc w:val="center"/>
        </w:trPr>
        <w:tc>
          <w:tcPr>
            <w:tcW w:w="749"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N</w:t>
            </w:r>
          </w:p>
        </w:tc>
        <w:tc>
          <w:tcPr>
            <w:tcW w:w="1069"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5,274</w:t>
            </w:r>
          </w:p>
        </w:tc>
        <w:tc>
          <w:tcPr>
            <w:tcW w:w="1128"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5,274</w:t>
            </w:r>
          </w:p>
        </w:tc>
        <w:tc>
          <w:tcPr>
            <w:tcW w:w="1069"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5,274</w:t>
            </w:r>
          </w:p>
        </w:tc>
        <w:tc>
          <w:tcPr>
            <w:tcW w:w="1130"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5,274</w:t>
            </w:r>
          </w:p>
        </w:tc>
        <w:tc>
          <w:tcPr>
            <w:tcW w:w="849"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558</w:t>
            </w:r>
          </w:p>
        </w:tc>
        <w:tc>
          <w:tcPr>
            <w:tcW w:w="960"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527</w:t>
            </w:r>
          </w:p>
        </w:tc>
        <w:tc>
          <w:tcPr>
            <w:tcW w:w="1041"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496</w:t>
            </w:r>
          </w:p>
        </w:tc>
      </w:tr>
    </w:tbl>
    <w:p>
      <w:pPr>
        <w:rPr>
          <w:rFonts w:ascii="Times New Roman" w:hAnsi="Times New Roman" w:eastAsia="仿宋" w:cs="Times New Roman"/>
          <w:szCs w:val="21"/>
        </w:rPr>
      </w:pPr>
    </w:p>
    <w:p>
      <w:pPr>
        <w:ind w:firstLine="420"/>
        <w:rPr>
          <w:rFonts w:ascii="Times New Roman" w:hAnsi="Times New Roman" w:eastAsia="仿宋" w:cs="Times New Roman"/>
          <w:szCs w:val="21"/>
        </w:rPr>
      </w:pPr>
      <w:r>
        <w:rPr>
          <w:rFonts w:ascii="Times New Roman" w:hAnsi="Times New Roman" w:eastAsia="仿宋" w:cs="Times New Roman"/>
          <w:szCs w:val="21"/>
        </w:rPr>
        <w:t>对本文结论的</w:t>
      </w:r>
      <w:r>
        <w:rPr>
          <w:rFonts w:hint="eastAsia" w:ascii="Times New Roman" w:hAnsi="Times New Roman" w:eastAsia="仿宋" w:cs="Times New Roman"/>
          <w:szCs w:val="21"/>
        </w:rPr>
        <w:t>另</w:t>
      </w:r>
      <w:r>
        <w:rPr>
          <w:rFonts w:ascii="Times New Roman" w:hAnsi="Times New Roman" w:eastAsia="仿宋" w:cs="Times New Roman"/>
          <w:szCs w:val="21"/>
        </w:rPr>
        <w:t>一个潜在威胁是：上市公司在中国</w:t>
      </w:r>
      <w:r>
        <w:rPr>
          <w:rFonts w:hint="eastAsia" w:ascii="Times New Roman" w:hAnsi="Times New Roman" w:eastAsia="仿宋" w:cs="Times New Roman"/>
          <w:szCs w:val="21"/>
        </w:rPr>
        <w:t>制造业</w:t>
      </w:r>
      <w:r>
        <w:rPr>
          <w:rFonts w:ascii="Times New Roman" w:hAnsi="Times New Roman" w:eastAsia="仿宋" w:cs="Times New Roman"/>
          <w:szCs w:val="21"/>
        </w:rPr>
        <w:t>企业中的占比很小，回归结论</w:t>
      </w:r>
      <w:r>
        <w:rPr>
          <w:rFonts w:hint="eastAsia" w:ascii="Times New Roman" w:hAnsi="Times New Roman" w:eastAsia="仿宋" w:cs="Times New Roman"/>
          <w:szCs w:val="21"/>
        </w:rPr>
        <w:t>是否具有代表性</w:t>
      </w:r>
      <w:r>
        <w:rPr>
          <w:rFonts w:ascii="Times New Roman" w:hAnsi="Times New Roman" w:eastAsia="仿宋" w:cs="Times New Roman"/>
          <w:szCs w:val="21"/>
        </w:rPr>
        <w:t>。为了排除这一</w:t>
      </w:r>
      <w:r>
        <w:rPr>
          <w:rFonts w:hint="eastAsia" w:ascii="Times New Roman" w:hAnsi="Times New Roman" w:eastAsia="仿宋" w:cs="Times New Roman"/>
          <w:szCs w:val="21"/>
        </w:rPr>
        <w:t>威胁</w:t>
      </w:r>
      <w:r>
        <w:rPr>
          <w:rFonts w:ascii="Times New Roman" w:hAnsi="Times New Roman" w:eastAsia="仿宋" w:cs="Times New Roman"/>
          <w:szCs w:val="21"/>
        </w:rPr>
        <w:t xml:space="preserve">，本文用中国制造业企业数据中样本量最丰富的中国工业企业数据库进行检验。首先本文参考Brandt </w:t>
      </w:r>
      <w:r>
        <w:rPr>
          <w:rFonts w:hint="eastAsia" w:ascii="Times New Roman" w:hAnsi="Times New Roman" w:eastAsia="仿宋" w:cs="Times New Roman"/>
          <w:szCs w:val="21"/>
        </w:rPr>
        <w:t>et</w:t>
      </w:r>
      <w:r>
        <w:rPr>
          <w:rFonts w:ascii="Times New Roman" w:hAnsi="Times New Roman" w:eastAsia="仿宋" w:cs="Times New Roman"/>
          <w:szCs w:val="21"/>
        </w:rPr>
        <w:t xml:space="preserve"> </w:t>
      </w:r>
      <w:r>
        <w:rPr>
          <w:rFonts w:hint="eastAsia" w:ascii="Times New Roman" w:hAnsi="Times New Roman" w:eastAsia="仿宋" w:cs="Times New Roman"/>
          <w:szCs w:val="21"/>
        </w:rPr>
        <w:t>al</w:t>
      </w:r>
      <w:r>
        <w:rPr>
          <w:rFonts w:ascii="Times New Roman" w:hAnsi="Times New Roman" w:eastAsia="仿宋" w:cs="Times New Roman"/>
          <w:szCs w:val="21"/>
        </w:rPr>
        <w:t>.（2012）对工业企业数据库进行了匹配和清洗，汇总为2000-2013年的面板数据。为了缓解数据库的潜在问，对数据进行了以下处理：根据会计原则填补工业增加值、工业中间投入合计部分年份缺漏的样本，删去资产总计、全部从业人员年平均人数、2008年以前固定资产净值年平均余额为缺漏，工业增加值大于工业总产值、固定资产净值年平均余额大于资产总计、全部从业人员年平均人数小于8、资产总计小于流动资产合计、累计折旧小于本年折旧、工业销售产值小于500万元、实收资本小于等于0的样本。在回归中，使用与（</w:t>
      </w:r>
      <w:r>
        <w:rPr>
          <w:rFonts w:hint="eastAsia" w:ascii="Times New Roman" w:hAnsi="Times New Roman" w:eastAsia="仿宋" w:cs="Times New Roman"/>
          <w:szCs w:val="21"/>
        </w:rPr>
        <w:t>19</w:t>
      </w:r>
      <w:r>
        <w:rPr>
          <w:rFonts w:ascii="Times New Roman" w:hAnsi="Times New Roman" w:eastAsia="仿宋" w:cs="Times New Roman"/>
          <w:szCs w:val="21"/>
        </w:rPr>
        <w:t>）式类似的模型，表</w:t>
      </w:r>
      <w:r>
        <w:rPr>
          <w:rFonts w:hint="eastAsia" w:ascii="仿宋" w:hAnsi="仿宋" w:eastAsia="仿宋" w:cs="仿宋"/>
          <w:szCs w:val="21"/>
        </w:rPr>
        <w:t>Ⅲ6</w:t>
      </w:r>
      <w:r>
        <w:rPr>
          <w:rFonts w:ascii="Times New Roman" w:hAnsi="Times New Roman" w:eastAsia="仿宋" w:cs="Times New Roman"/>
          <w:szCs w:val="21"/>
        </w:rPr>
        <w:t>的回归结果显示，即便使用更为微观的中国工业企业数据，</w:t>
      </w:r>
      <w:r>
        <w:rPr>
          <w:rFonts w:hint="eastAsia" w:ascii="Times New Roman" w:hAnsi="Times New Roman" w:eastAsia="仿宋" w:cs="Times New Roman"/>
          <w:szCs w:val="21"/>
        </w:rPr>
        <w:t>显性</w:t>
      </w:r>
      <w:r>
        <w:rPr>
          <w:rFonts w:ascii="Times New Roman" w:hAnsi="Times New Roman" w:eastAsia="仿宋" w:cs="Times New Roman"/>
          <w:szCs w:val="21"/>
        </w:rPr>
        <w:t>体制引力对企业全要素生产率提升的抑制作用依然存在</w:t>
      </w:r>
      <w:r>
        <w:rPr>
          <w:rFonts w:hint="eastAsia" w:ascii="Times New Roman" w:hAnsi="Times New Roman" w:eastAsia="仿宋" w:cs="Times New Roman"/>
          <w:szCs w:val="21"/>
        </w:rPr>
        <w:t>，而且更加明显。</w:t>
      </w:r>
    </w:p>
    <w:p>
      <w:pPr>
        <w:ind w:firstLine="420"/>
        <w:rPr>
          <w:rFonts w:ascii="Times New Roman" w:hAnsi="Times New Roman" w:eastAsia="仿宋" w:cs="Times New Roman"/>
          <w:szCs w:val="21"/>
        </w:rPr>
      </w:pPr>
    </w:p>
    <w:p>
      <w:pPr>
        <w:jc w:val="center"/>
        <w:rPr>
          <w:rFonts w:ascii="黑体" w:hAnsi="黑体" w:eastAsia="黑体" w:cs="黑体"/>
          <w:sz w:val="18"/>
          <w:szCs w:val="18"/>
        </w:rPr>
      </w:pPr>
      <w:r>
        <w:rPr>
          <w:rFonts w:hint="eastAsia" w:ascii="黑体" w:hAnsi="黑体" w:eastAsia="黑体" w:cs="黑体"/>
          <w:sz w:val="18"/>
          <w:szCs w:val="18"/>
        </w:rPr>
        <w:t>表Ⅲ6 中国工业企业数据库的回归结果</w:t>
      </w:r>
    </w:p>
    <w:tbl>
      <w:tblPr>
        <w:tblStyle w:val="14"/>
        <w:tblW w:w="4998" w:type="pct"/>
        <w:jc w:val="center"/>
        <w:tblLayout w:type="autofit"/>
        <w:tblCellMar>
          <w:top w:w="0" w:type="dxa"/>
          <w:left w:w="108" w:type="dxa"/>
          <w:bottom w:w="0" w:type="dxa"/>
          <w:right w:w="108" w:type="dxa"/>
        </w:tblCellMar>
      </w:tblPr>
      <w:tblGrid>
        <w:gridCol w:w="2030"/>
        <w:gridCol w:w="2122"/>
        <w:gridCol w:w="2122"/>
        <w:gridCol w:w="2245"/>
      </w:tblGrid>
      <w:tr>
        <w:tblPrEx>
          <w:tblCellMar>
            <w:top w:w="0" w:type="dxa"/>
            <w:left w:w="108" w:type="dxa"/>
            <w:bottom w:w="0" w:type="dxa"/>
            <w:right w:w="108" w:type="dxa"/>
          </w:tblCellMar>
        </w:tblPrEx>
        <w:trPr>
          <w:jc w:val="center"/>
        </w:trPr>
        <w:tc>
          <w:tcPr>
            <w:tcW w:w="1191" w:type="pct"/>
            <w:tcBorders>
              <w:top w:val="single" w:color="auto" w:sz="4" w:space="0"/>
              <w:left w:val="nil"/>
              <w:bottom w:val="nil"/>
              <w:right w:val="nil"/>
            </w:tcBorders>
          </w:tcPr>
          <w:p>
            <w:pPr>
              <w:jc w:val="center"/>
              <w:rPr>
                <w:rFonts w:ascii="Times New Roman" w:hAnsi="Times New Roman" w:eastAsia="仿宋" w:cs="Times New Roman"/>
                <w:sz w:val="15"/>
                <w:szCs w:val="15"/>
              </w:rPr>
            </w:pPr>
          </w:p>
        </w:tc>
        <w:tc>
          <w:tcPr>
            <w:tcW w:w="1245"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w:t>
            </w:r>
          </w:p>
        </w:tc>
        <w:tc>
          <w:tcPr>
            <w:tcW w:w="1245"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（2）</w:t>
            </w:r>
          </w:p>
        </w:tc>
        <w:tc>
          <w:tcPr>
            <w:tcW w:w="1317"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w:t>
            </w:r>
          </w:p>
        </w:tc>
      </w:tr>
      <w:tr>
        <w:tblPrEx>
          <w:tblCellMar>
            <w:top w:w="0" w:type="dxa"/>
            <w:left w:w="108" w:type="dxa"/>
            <w:bottom w:w="0" w:type="dxa"/>
            <w:right w:w="108" w:type="dxa"/>
          </w:tblCellMar>
        </w:tblPrEx>
        <w:trPr>
          <w:jc w:val="center"/>
        </w:trPr>
        <w:tc>
          <w:tcPr>
            <w:tcW w:w="1191"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变量</w:t>
            </w:r>
          </w:p>
        </w:tc>
        <w:tc>
          <w:tcPr>
            <w:tcW w:w="1245" w:type="pct"/>
            <w:tcBorders>
              <w:top w:val="nil"/>
              <w:left w:val="nil"/>
              <w:bottom w:val="single" w:color="auto" w:sz="4" w:space="0"/>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op</w:t>
            </w:r>
          </w:p>
        </w:tc>
        <w:tc>
          <w:tcPr>
            <w:tcW w:w="1245" w:type="pct"/>
            <w:tcBorders>
              <w:top w:val="nil"/>
              <w:left w:val="nil"/>
              <w:bottom w:val="single" w:color="auto" w:sz="4" w:space="0"/>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acf</w:t>
            </w:r>
          </w:p>
        </w:tc>
        <w:tc>
          <w:tcPr>
            <w:tcW w:w="1317" w:type="pct"/>
            <w:tcBorders>
              <w:top w:val="nil"/>
              <w:left w:val="nil"/>
              <w:bottom w:val="single" w:color="auto" w:sz="4" w:space="0"/>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lp</w:t>
            </w:r>
          </w:p>
        </w:tc>
      </w:tr>
      <w:tr>
        <w:tblPrEx>
          <w:tblCellMar>
            <w:top w:w="0" w:type="dxa"/>
            <w:left w:w="108" w:type="dxa"/>
            <w:bottom w:w="0" w:type="dxa"/>
            <w:right w:w="108" w:type="dxa"/>
          </w:tblCellMar>
        </w:tblPrEx>
        <w:trPr>
          <w:jc w:val="center"/>
        </w:trPr>
        <w:tc>
          <w:tcPr>
            <w:tcW w:w="1191" w:type="pct"/>
            <w:tcBorders>
              <w:top w:val="single" w:color="auto" w:sz="4" w:space="0"/>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gravity</w:t>
            </w:r>
          </w:p>
        </w:tc>
        <w:tc>
          <w:tcPr>
            <w:tcW w:w="1245"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-0.077***</w:t>
            </w:r>
          </w:p>
        </w:tc>
        <w:tc>
          <w:tcPr>
            <w:tcW w:w="1245"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-0.074***</w:t>
            </w:r>
          </w:p>
        </w:tc>
        <w:tc>
          <w:tcPr>
            <w:tcW w:w="1317"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-0.095***</w:t>
            </w:r>
          </w:p>
        </w:tc>
      </w:tr>
      <w:tr>
        <w:tblPrEx>
          <w:tblCellMar>
            <w:top w:w="0" w:type="dxa"/>
            <w:left w:w="108" w:type="dxa"/>
            <w:bottom w:w="0" w:type="dxa"/>
            <w:right w:w="108" w:type="dxa"/>
          </w:tblCellMar>
        </w:tblPrEx>
        <w:trPr>
          <w:jc w:val="center"/>
        </w:trPr>
        <w:tc>
          <w:tcPr>
            <w:tcW w:w="1191"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(0.006)</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(0.006)</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(0.007)</w:t>
            </w:r>
          </w:p>
        </w:tc>
      </w:tr>
      <w:tr>
        <w:tblPrEx>
          <w:tblCellMar>
            <w:top w:w="0" w:type="dxa"/>
            <w:left w:w="108" w:type="dxa"/>
            <w:bottom w:w="0" w:type="dxa"/>
            <w:right w:w="108" w:type="dxa"/>
          </w:tblCellMar>
        </w:tblPrEx>
        <w:trPr>
          <w:jc w:val="center"/>
        </w:trPr>
        <w:tc>
          <w:tcPr>
            <w:tcW w:w="1191"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klr</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0.195***</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0.204***</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0.149***</w:t>
            </w:r>
          </w:p>
        </w:tc>
      </w:tr>
      <w:tr>
        <w:tblPrEx>
          <w:tblCellMar>
            <w:top w:w="0" w:type="dxa"/>
            <w:left w:w="108" w:type="dxa"/>
            <w:bottom w:w="0" w:type="dxa"/>
            <w:right w:w="108" w:type="dxa"/>
          </w:tblCellMar>
        </w:tblPrEx>
        <w:trPr>
          <w:jc w:val="center"/>
        </w:trPr>
        <w:tc>
          <w:tcPr>
            <w:tcW w:w="1191"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(0.001)</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(0.001)</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(0.001)</w:t>
            </w:r>
          </w:p>
        </w:tc>
      </w:tr>
      <w:tr>
        <w:tblPrEx>
          <w:tblCellMar>
            <w:top w:w="0" w:type="dxa"/>
            <w:left w:w="108" w:type="dxa"/>
            <w:bottom w:w="0" w:type="dxa"/>
            <w:right w:w="108" w:type="dxa"/>
          </w:tblCellMar>
        </w:tblPrEx>
        <w:trPr>
          <w:jc w:val="center"/>
        </w:trPr>
        <w:tc>
          <w:tcPr>
            <w:tcW w:w="1191"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age</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0.128***</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0.128***</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0.130***</w:t>
            </w:r>
          </w:p>
        </w:tc>
      </w:tr>
      <w:tr>
        <w:tblPrEx>
          <w:tblCellMar>
            <w:top w:w="0" w:type="dxa"/>
            <w:left w:w="108" w:type="dxa"/>
            <w:bottom w:w="0" w:type="dxa"/>
            <w:right w:w="108" w:type="dxa"/>
          </w:tblCellMar>
        </w:tblPrEx>
        <w:trPr>
          <w:jc w:val="center"/>
        </w:trPr>
        <w:tc>
          <w:tcPr>
            <w:tcW w:w="1191"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(0.002)</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(0.002)</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(0.002)</w:t>
            </w:r>
          </w:p>
        </w:tc>
      </w:tr>
      <w:tr>
        <w:tblPrEx>
          <w:tblCellMar>
            <w:top w:w="0" w:type="dxa"/>
            <w:left w:w="108" w:type="dxa"/>
            <w:bottom w:w="0" w:type="dxa"/>
            <w:right w:w="108" w:type="dxa"/>
          </w:tblCellMar>
        </w:tblPrEx>
        <w:trPr>
          <w:jc w:val="center"/>
        </w:trPr>
        <w:tc>
          <w:tcPr>
            <w:tcW w:w="1191"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size</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0.291***</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0.117***</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-0.118***</w:t>
            </w:r>
          </w:p>
        </w:tc>
      </w:tr>
      <w:tr>
        <w:tblPrEx>
          <w:tblCellMar>
            <w:top w:w="0" w:type="dxa"/>
            <w:left w:w="108" w:type="dxa"/>
            <w:bottom w:w="0" w:type="dxa"/>
            <w:right w:w="108" w:type="dxa"/>
          </w:tblCellMar>
        </w:tblPrEx>
        <w:trPr>
          <w:jc w:val="center"/>
        </w:trPr>
        <w:tc>
          <w:tcPr>
            <w:tcW w:w="1191"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(0.002)</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(0.002)</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(0.002)</w:t>
            </w:r>
          </w:p>
        </w:tc>
      </w:tr>
      <w:tr>
        <w:tblPrEx>
          <w:tblCellMar>
            <w:top w:w="0" w:type="dxa"/>
            <w:left w:w="108" w:type="dxa"/>
            <w:bottom w:w="0" w:type="dxa"/>
            <w:right w:w="108" w:type="dxa"/>
          </w:tblCellMar>
        </w:tblPrEx>
        <w:trPr>
          <w:jc w:val="center"/>
        </w:trPr>
        <w:tc>
          <w:tcPr>
            <w:tcW w:w="1191"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kern w:val="0"/>
                <w:sz w:val="15"/>
                <w:szCs w:val="15"/>
              </w:rPr>
              <w:t>soe</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-0.047***</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-0.046***</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-0.052***</w:t>
            </w:r>
          </w:p>
        </w:tc>
      </w:tr>
      <w:tr>
        <w:tblPrEx>
          <w:tblCellMar>
            <w:top w:w="0" w:type="dxa"/>
            <w:left w:w="108" w:type="dxa"/>
            <w:bottom w:w="0" w:type="dxa"/>
            <w:right w:w="108" w:type="dxa"/>
          </w:tblCellMar>
        </w:tblPrEx>
        <w:trPr>
          <w:jc w:val="center"/>
        </w:trPr>
        <w:tc>
          <w:tcPr>
            <w:tcW w:w="1191"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(0.006)</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(0.006)</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(0.006)</w:t>
            </w:r>
          </w:p>
        </w:tc>
      </w:tr>
      <w:tr>
        <w:tblPrEx>
          <w:tblCellMar>
            <w:top w:w="0" w:type="dxa"/>
            <w:left w:w="108" w:type="dxa"/>
            <w:bottom w:w="0" w:type="dxa"/>
            <w:right w:w="108" w:type="dxa"/>
          </w:tblCellMar>
        </w:tblPrEx>
        <w:trPr>
          <w:jc w:val="center"/>
        </w:trPr>
        <w:tc>
          <w:tcPr>
            <w:tcW w:w="1191"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kern w:val="0"/>
                <w:sz w:val="15"/>
                <w:szCs w:val="15"/>
              </w:rPr>
              <w:t>per_industry2</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0.006***</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0.006***</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0.006***</w:t>
            </w:r>
          </w:p>
        </w:tc>
      </w:tr>
      <w:tr>
        <w:tblPrEx>
          <w:tblCellMar>
            <w:top w:w="0" w:type="dxa"/>
            <w:left w:w="108" w:type="dxa"/>
            <w:bottom w:w="0" w:type="dxa"/>
            <w:right w:w="108" w:type="dxa"/>
          </w:tblCellMar>
        </w:tblPrEx>
        <w:trPr>
          <w:jc w:val="center"/>
        </w:trPr>
        <w:tc>
          <w:tcPr>
            <w:tcW w:w="1191"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(0.000)</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(0.000)</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(0.000)</w:t>
            </w:r>
          </w:p>
        </w:tc>
      </w:tr>
      <w:tr>
        <w:tblPrEx>
          <w:tblCellMar>
            <w:top w:w="0" w:type="dxa"/>
            <w:left w:w="108" w:type="dxa"/>
            <w:bottom w:w="0" w:type="dxa"/>
            <w:right w:w="108" w:type="dxa"/>
          </w:tblCellMar>
        </w:tblPrEx>
        <w:trPr>
          <w:jc w:val="center"/>
        </w:trPr>
        <w:tc>
          <w:tcPr>
            <w:tcW w:w="1191"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kern w:val="0"/>
                <w:sz w:val="15"/>
                <w:szCs w:val="15"/>
              </w:rPr>
              <w:t>Fix_inves</w:t>
            </w:r>
            <w:r>
              <w:rPr>
                <w:rFonts w:ascii="Times New Roman" w:hAnsi="Times New Roman" w:eastAsia="仿宋" w:cs="Times New Roman"/>
                <w:i/>
                <w:iCs/>
                <w:sz w:val="15"/>
                <w:szCs w:val="15"/>
              </w:rPr>
              <w:t>t</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0.226***</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0.226***</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0.228***</w:t>
            </w:r>
          </w:p>
        </w:tc>
      </w:tr>
      <w:tr>
        <w:tblPrEx>
          <w:tblCellMar>
            <w:top w:w="0" w:type="dxa"/>
            <w:left w:w="108" w:type="dxa"/>
            <w:bottom w:w="0" w:type="dxa"/>
            <w:right w:w="108" w:type="dxa"/>
          </w:tblCellMar>
        </w:tblPrEx>
        <w:trPr>
          <w:jc w:val="center"/>
        </w:trPr>
        <w:tc>
          <w:tcPr>
            <w:tcW w:w="1191"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(0.007)</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(0.007)</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(0.007)</w:t>
            </w:r>
          </w:p>
        </w:tc>
      </w:tr>
      <w:tr>
        <w:tblPrEx>
          <w:tblCellMar>
            <w:top w:w="0" w:type="dxa"/>
            <w:left w:w="108" w:type="dxa"/>
            <w:bottom w:w="0" w:type="dxa"/>
            <w:right w:w="108" w:type="dxa"/>
          </w:tblCellMar>
        </w:tblPrEx>
        <w:trPr>
          <w:jc w:val="center"/>
        </w:trPr>
        <w:tc>
          <w:tcPr>
            <w:tcW w:w="1191"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cons</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1.722***</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1.865***</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1.002***</w:t>
            </w:r>
          </w:p>
        </w:tc>
      </w:tr>
      <w:tr>
        <w:tblPrEx>
          <w:tblCellMar>
            <w:top w:w="0" w:type="dxa"/>
            <w:left w:w="108" w:type="dxa"/>
            <w:bottom w:w="0" w:type="dxa"/>
            <w:right w:w="108" w:type="dxa"/>
          </w:tblCellMar>
        </w:tblPrEx>
        <w:trPr>
          <w:jc w:val="center"/>
        </w:trPr>
        <w:tc>
          <w:tcPr>
            <w:tcW w:w="1191" w:type="pct"/>
            <w:tcBorders>
              <w:top w:val="nil"/>
              <w:left w:val="nil"/>
              <w:bottom w:val="nil"/>
              <w:right w:val="nil"/>
            </w:tcBorders>
          </w:tcPr>
          <w:p>
            <w:pPr>
              <w:jc w:val="center"/>
              <w:rPr>
                <w:rFonts w:ascii="Times New Roman" w:hAnsi="Times New Roman" w:eastAsia="仿宋" w:cs="Times New Roman"/>
                <w:i/>
                <w:iCs/>
                <w:sz w:val="15"/>
                <w:szCs w:val="15"/>
              </w:rPr>
            </w:pP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(0.055)</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(0.055)</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(0.056)</w:t>
            </w:r>
          </w:p>
        </w:tc>
      </w:tr>
      <w:tr>
        <w:tblPrEx>
          <w:tblCellMar>
            <w:top w:w="0" w:type="dxa"/>
            <w:left w:w="108" w:type="dxa"/>
            <w:bottom w:w="0" w:type="dxa"/>
            <w:right w:w="108" w:type="dxa"/>
          </w:tblCellMar>
        </w:tblPrEx>
        <w:trPr>
          <w:jc w:val="center"/>
        </w:trPr>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企业固定效应</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r>
      <w:tr>
        <w:tblPrEx>
          <w:tblCellMar>
            <w:top w:w="0" w:type="dxa"/>
            <w:left w:w="108" w:type="dxa"/>
            <w:bottom w:w="0" w:type="dxa"/>
            <w:right w:w="108" w:type="dxa"/>
          </w:tblCellMar>
        </w:tblPrEx>
        <w:trPr>
          <w:jc w:val="center"/>
        </w:trPr>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年份固定效应</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24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31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r>
      <w:tr>
        <w:tblPrEx>
          <w:tblCellMar>
            <w:top w:w="0" w:type="dxa"/>
            <w:left w:w="108" w:type="dxa"/>
            <w:bottom w:w="0" w:type="dxa"/>
            <w:right w:w="108" w:type="dxa"/>
          </w:tblCellMar>
        </w:tblPrEx>
        <w:trPr>
          <w:jc w:val="center"/>
        </w:trPr>
        <w:tc>
          <w:tcPr>
            <w:tcW w:w="1191" w:type="pct"/>
            <w:tcBorders>
              <w:top w:val="nil"/>
              <w:left w:val="nil"/>
              <w:bottom w:val="nil"/>
              <w:right w:val="nil"/>
            </w:tcBorders>
          </w:tcPr>
          <w:p>
            <w:pPr>
              <w:jc w:val="center"/>
              <w:rPr>
                <w:rFonts w:ascii="Times New Roman" w:hAnsi="Times New Roman" w:eastAsia="仿宋" w:cs="Times New Roman"/>
                <w:sz w:val="15"/>
                <w:szCs w:val="15"/>
                <w:vertAlign w:val="superscript"/>
              </w:rPr>
            </w:pPr>
            <w:r>
              <w:rPr>
                <w:rFonts w:ascii="Times New Roman" w:hAnsi="Times New Roman" w:eastAsia="仿宋" w:cs="Times New Roman"/>
                <w:sz w:val="15"/>
                <w:szCs w:val="15"/>
              </w:rPr>
              <w:t>R</w:t>
            </w:r>
            <w:r>
              <w:rPr>
                <w:rFonts w:ascii="Times New Roman" w:hAnsi="Times New Roman" w:eastAsia="仿宋" w:cs="Times New Roman"/>
                <w:sz w:val="15"/>
                <w:szCs w:val="15"/>
                <w:vertAlign w:val="superscript"/>
              </w:rPr>
              <w:t>2</w:t>
            </w:r>
          </w:p>
        </w:tc>
        <w:tc>
          <w:tcPr>
            <w:tcW w:w="212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0.767</w:t>
            </w:r>
          </w:p>
        </w:tc>
        <w:tc>
          <w:tcPr>
            <w:tcW w:w="2122"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0.746</w:t>
            </w:r>
          </w:p>
        </w:tc>
        <w:tc>
          <w:tcPr>
            <w:tcW w:w="2245"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0.682</w:t>
            </w:r>
          </w:p>
        </w:tc>
      </w:tr>
      <w:tr>
        <w:tblPrEx>
          <w:tblCellMar>
            <w:top w:w="0" w:type="dxa"/>
            <w:left w:w="108" w:type="dxa"/>
            <w:bottom w:w="0" w:type="dxa"/>
            <w:right w:w="108" w:type="dxa"/>
          </w:tblCellMar>
        </w:tblPrEx>
        <w:trPr>
          <w:jc w:val="center"/>
        </w:trPr>
        <w:tc>
          <w:tcPr>
            <w:tcW w:w="1191"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N</w:t>
            </w:r>
          </w:p>
        </w:tc>
        <w:tc>
          <w:tcPr>
            <w:tcW w:w="2122"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2,439,629</w:t>
            </w:r>
          </w:p>
        </w:tc>
        <w:tc>
          <w:tcPr>
            <w:tcW w:w="2122"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2,439,629</w:t>
            </w:r>
          </w:p>
        </w:tc>
        <w:tc>
          <w:tcPr>
            <w:tcW w:w="2245"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2,439,629</w:t>
            </w:r>
          </w:p>
        </w:tc>
      </w:tr>
    </w:tbl>
    <w:p>
      <w:pPr>
        <w:rPr>
          <w:rFonts w:ascii="Times New Roman" w:hAnsi="Times New Roman" w:eastAsia="宋体" w:cs="Times New Roman"/>
          <w:sz w:val="15"/>
          <w:szCs w:val="15"/>
        </w:rPr>
      </w:pPr>
    </w:p>
    <w:p>
      <w:pPr>
        <w:rPr>
          <w:rFonts w:ascii="Times New Roman" w:hAnsi="Times New Roman" w:eastAsia="宋体" w:cs="Times New Roman"/>
          <w:sz w:val="15"/>
          <w:szCs w:val="15"/>
        </w:rPr>
      </w:pPr>
      <w:r>
        <w:rPr>
          <w:rFonts w:hint="eastAsia" w:ascii="Times New Roman" w:hAnsi="Times New Roman" w:eastAsia="宋体" w:cs="Times New Roman"/>
          <w:sz w:val="15"/>
          <w:szCs w:val="15"/>
        </w:rPr>
        <w:br w:type="page"/>
      </w:r>
    </w:p>
    <w:p>
      <w:pPr>
        <w:pStyle w:val="2"/>
        <w:spacing w:line="240" w:lineRule="auto"/>
        <w:jc w:val="center"/>
        <w:rPr>
          <w:rFonts w:ascii="楷体" w:hAnsi="楷体" w:eastAsia="楷体" w:cs="Times New Roman"/>
          <w:b w:val="0"/>
          <w:bCs w:val="0"/>
          <w:sz w:val="28"/>
          <w:szCs w:val="28"/>
        </w:rPr>
      </w:pPr>
      <w:bookmarkStart w:id="10" w:name="_Toc159314269"/>
      <w:r>
        <w:rPr>
          <w:rFonts w:hint="eastAsia" w:ascii="楷体" w:hAnsi="楷体" w:eastAsia="楷体"/>
          <w:b w:val="0"/>
          <w:bCs w:val="0"/>
          <w:sz w:val="28"/>
          <w:szCs w:val="28"/>
        </w:rPr>
        <w:t>附录Ⅳ 内生性问题的进一步检验</w:t>
      </w:r>
      <w:bookmarkEnd w:id="10"/>
    </w:p>
    <w:p>
      <w:pPr>
        <w:ind w:firstLine="420"/>
        <w:rPr>
          <w:rFonts w:ascii="Times New Roman" w:hAnsi="Times New Roman" w:eastAsia="仿宋" w:cs="Times New Roman"/>
          <w:szCs w:val="21"/>
        </w:rPr>
      </w:pPr>
      <w:r>
        <w:rPr>
          <w:rFonts w:hint="eastAsia" w:ascii="Times New Roman" w:hAnsi="Times New Roman" w:eastAsia="仿宋" w:cs="Times New Roman"/>
          <w:szCs w:val="21"/>
        </w:rPr>
        <w:t>一方面，</w:t>
      </w:r>
      <w:r>
        <w:rPr>
          <w:rFonts w:ascii="Times New Roman" w:hAnsi="Times New Roman" w:eastAsia="仿宋" w:cs="Times New Roman"/>
          <w:szCs w:val="21"/>
        </w:rPr>
        <w:t>根据相关文献分析，地区层面的决定变量可能对企业生存率有重要影响。为了控制潜在的遗漏变量，本文首先加入地区市场化水平（</w:t>
      </w:r>
      <w:r>
        <w:rPr>
          <w:rFonts w:ascii="Times New Roman" w:hAnsi="Times New Roman" w:eastAsia="仿宋" w:cs="Times New Roman"/>
          <w:i/>
          <w:iCs/>
          <w:szCs w:val="21"/>
        </w:rPr>
        <w:t>ins</w:t>
      </w:r>
      <w:r>
        <w:rPr>
          <w:rFonts w:ascii="Times New Roman" w:hAnsi="Times New Roman" w:eastAsia="仿宋" w:cs="Times New Roman"/>
          <w:szCs w:val="21"/>
        </w:rPr>
        <w:t>）以控制市场化进程可能产生的影响，其次加入外商直接投资额占GDP比重（</w:t>
      </w:r>
      <w:r>
        <w:rPr>
          <w:rFonts w:ascii="Times New Roman" w:hAnsi="Times New Roman" w:eastAsia="仿宋" w:cs="Times New Roman"/>
          <w:i/>
          <w:iCs/>
          <w:szCs w:val="21"/>
        </w:rPr>
        <w:t>fdi</w:t>
      </w:r>
      <w:r>
        <w:rPr>
          <w:rFonts w:ascii="Times New Roman" w:hAnsi="Times New Roman" w:eastAsia="仿宋" w:cs="Times New Roman"/>
          <w:szCs w:val="21"/>
        </w:rPr>
        <w:t>）来控制外资流入带来的学习效应对企业全要素生产率的可能作用。从表</w:t>
      </w:r>
      <w:r>
        <w:rPr>
          <w:rFonts w:hint="eastAsia" w:ascii="仿宋" w:hAnsi="仿宋" w:eastAsia="仿宋" w:cs="仿宋"/>
          <w:szCs w:val="21"/>
        </w:rPr>
        <w:t>Ⅳ</w:t>
      </w:r>
      <w:r>
        <w:rPr>
          <w:rFonts w:hint="eastAsia" w:ascii="Times New Roman" w:hAnsi="Times New Roman" w:eastAsia="仿宋" w:cs="Times New Roman"/>
          <w:szCs w:val="21"/>
        </w:rPr>
        <w:t>1</w:t>
      </w:r>
      <w:r>
        <w:rPr>
          <w:rFonts w:ascii="Times New Roman" w:hAnsi="Times New Roman" w:eastAsia="仿宋" w:cs="Times New Roman"/>
          <w:szCs w:val="21"/>
        </w:rPr>
        <w:t>第（</w:t>
      </w:r>
      <w:r>
        <w:rPr>
          <w:rFonts w:hint="eastAsia" w:ascii="Times New Roman" w:hAnsi="Times New Roman" w:eastAsia="仿宋" w:cs="Times New Roman"/>
          <w:szCs w:val="21"/>
        </w:rPr>
        <w:t>1</w:t>
      </w:r>
      <w:r>
        <w:rPr>
          <w:rFonts w:ascii="Times New Roman" w:hAnsi="Times New Roman" w:eastAsia="仿宋" w:cs="Times New Roman"/>
          <w:szCs w:val="21"/>
        </w:rPr>
        <w:t>）-（</w:t>
      </w:r>
      <w:r>
        <w:rPr>
          <w:rFonts w:hint="eastAsia" w:ascii="Times New Roman" w:hAnsi="Times New Roman" w:eastAsia="仿宋" w:cs="Times New Roman"/>
          <w:szCs w:val="21"/>
        </w:rPr>
        <w:t>2</w:t>
      </w:r>
      <w:r>
        <w:rPr>
          <w:rFonts w:ascii="Times New Roman" w:hAnsi="Times New Roman" w:eastAsia="仿宋" w:cs="Times New Roman"/>
          <w:szCs w:val="21"/>
        </w:rPr>
        <w:t>）列的结果来看，</w:t>
      </w:r>
      <w:r>
        <w:rPr>
          <w:rFonts w:hint="eastAsia" w:ascii="Times New Roman" w:hAnsi="Times New Roman" w:eastAsia="仿宋" w:cs="Times New Roman"/>
          <w:szCs w:val="21"/>
        </w:rPr>
        <w:t>显性</w:t>
      </w:r>
      <w:r>
        <w:rPr>
          <w:rFonts w:ascii="Times New Roman" w:hAnsi="Times New Roman" w:eastAsia="仿宋" w:cs="Times New Roman"/>
          <w:szCs w:val="21"/>
        </w:rPr>
        <w:t>体制引力的估计系数仍</w:t>
      </w:r>
      <w:r>
        <w:rPr>
          <w:rFonts w:hint="eastAsia" w:ascii="Times New Roman" w:hAnsi="Times New Roman" w:eastAsia="仿宋" w:cs="Times New Roman"/>
          <w:szCs w:val="21"/>
        </w:rPr>
        <w:t>显著</w:t>
      </w:r>
      <w:r>
        <w:rPr>
          <w:rFonts w:ascii="Times New Roman" w:hAnsi="Times New Roman" w:eastAsia="仿宋" w:cs="Times New Roman"/>
          <w:szCs w:val="21"/>
        </w:rPr>
        <w:t>为负，结果稳健。</w:t>
      </w:r>
    </w:p>
    <w:p>
      <w:pPr>
        <w:ind w:firstLine="420"/>
        <w:rPr>
          <w:rFonts w:ascii="Times New Roman" w:hAnsi="Times New Roman" w:eastAsia="仿宋" w:cs="Times New Roman"/>
          <w:szCs w:val="21"/>
        </w:rPr>
      </w:pPr>
      <w:r>
        <w:rPr>
          <w:rFonts w:hint="eastAsia" w:ascii="Times New Roman" w:hAnsi="Times New Roman" w:eastAsia="仿宋" w:cs="Times New Roman"/>
          <w:szCs w:val="21"/>
        </w:rPr>
        <w:t>另一方面，</w:t>
      </w:r>
      <w:r>
        <w:rPr>
          <w:rFonts w:ascii="Times New Roman" w:hAnsi="Times New Roman" w:eastAsia="仿宋" w:cs="Times New Roman"/>
          <w:szCs w:val="21"/>
        </w:rPr>
        <w:t>基准回归使用静态面板模型下的OLS估计方法，并没有解决潜在序列相关和内生性问题，仍有可能无法得到有效、无偏的估计量。为了确保估计方法的稳健性，本文进一步将被解释变量的滞后项纳入模型中去，也即采用动态面板模型，再用能够缓解潜在内生性的差分GMM和系统GMM进行估计。表</w:t>
      </w:r>
      <w:r>
        <w:rPr>
          <w:rFonts w:hint="eastAsia" w:ascii="仿宋" w:hAnsi="仿宋" w:eastAsia="仿宋" w:cs="仿宋"/>
          <w:szCs w:val="21"/>
        </w:rPr>
        <w:t>Ⅳ1</w:t>
      </w:r>
      <w:r>
        <w:rPr>
          <w:rFonts w:ascii="Times New Roman" w:hAnsi="Times New Roman" w:eastAsia="仿宋" w:cs="Times New Roman"/>
          <w:szCs w:val="21"/>
        </w:rPr>
        <w:t>第（</w:t>
      </w:r>
      <w:r>
        <w:rPr>
          <w:rFonts w:hint="eastAsia" w:ascii="Times New Roman" w:hAnsi="Times New Roman" w:eastAsia="仿宋" w:cs="Times New Roman"/>
          <w:szCs w:val="21"/>
        </w:rPr>
        <w:t>3</w:t>
      </w:r>
      <w:r>
        <w:rPr>
          <w:rFonts w:ascii="Times New Roman" w:hAnsi="Times New Roman" w:eastAsia="仿宋" w:cs="Times New Roman"/>
          <w:szCs w:val="21"/>
        </w:rPr>
        <w:t>）-（</w:t>
      </w:r>
      <w:r>
        <w:rPr>
          <w:rFonts w:hint="eastAsia" w:ascii="Times New Roman" w:hAnsi="Times New Roman" w:eastAsia="仿宋" w:cs="Times New Roman"/>
          <w:szCs w:val="21"/>
        </w:rPr>
        <w:t>4</w:t>
      </w:r>
      <w:r>
        <w:rPr>
          <w:rFonts w:ascii="Times New Roman" w:hAnsi="Times New Roman" w:eastAsia="仿宋" w:cs="Times New Roman"/>
          <w:szCs w:val="21"/>
        </w:rPr>
        <w:t>）列的结果均分别通过自相关检验（AR（1）小于0.1</w:t>
      </w:r>
      <w:r>
        <w:rPr>
          <w:rFonts w:hint="eastAsia" w:ascii="Times New Roman" w:hAnsi="Times New Roman" w:eastAsia="仿宋" w:cs="Times New Roman"/>
          <w:szCs w:val="21"/>
        </w:rPr>
        <w:t>，</w:t>
      </w:r>
      <w:r>
        <w:rPr>
          <w:rFonts w:ascii="Times New Roman" w:hAnsi="Times New Roman" w:eastAsia="仿宋" w:cs="Times New Roman"/>
          <w:szCs w:val="21"/>
        </w:rPr>
        <w:t>AR（2）大于0.1）和工具变量有效性检验（Hansen检验值大于0.1）。结果表明，</w:t>
      </w:r>
      <w:r>
        <w:rPr>
          <w:rFonts w:hint="eastAsia" w:ascii="Times New Roman" w:hAnsi="Times New Roman" w:eastAsia="仿宋" w:cs="Times New Roman"/>
          <w:szCs w:val="21"/>
        </w:rPr>
        <w:t>显性</w:t>
      </w:r>
      <w:r>
        <w:rPr>
          <w:rFonts w:ascii="Times New Roman" w:hAnsi="Times New Roman" w:eastAsia="仿宋" w:cs="Times New Roman"/>
          <w:szCs w:val="21"/>
        </w:rPr>
        <w:t>体制引力对企业全要素生产率的影响仍至少在10%水平上显著为负，与基准回归一致。</w:t>
      </w:r>
    </w:p>
    <w:p>
      <w:pPr>
        <w:ind w:firstLine="420"/>
        <w:rPr>
          <w:rFonts w:ascii="Times New Roman" w:hAnsi="Times New Roman" w:eastAsia="仿宋" w:cs="Times New Roman"/>
          <w:szCs w:val="21"/>
        </w:rPr>
      </w:pPr>
    </w:p>
    <w:p>
      <w:pPr>
        <w:jc w:val="center"/>
        <w:rPr>
          <w:rFonts w:ascii="黑体" w:hAnsi="黑体" w:eastAsia="黑体" w:cs="黑体"/>
          <w:sz w:val="18"/>
          <w:szCs w:val="18"/>
        </w:rPr>
      </w:pPr>
      <w:r>
        <w:rPr>
          <w:rFonts w:hint="eastAsia" w:ascii="黑体" w:hAnsi="黑体" w:eastAsia="黑体" w:cs="黑体"/>
          <w:sz w:val="18"/>
          <w:szCs w:val="18"/>
        </w:rPr>
        <w:t>表Ⅳ1  处理内生性问题后的回归结果</w:t>
      </w:r>
    </w:p>
    <w:tbl>
      <w:tblPr>
        <w:tblStyle w:val="14"/>
        <w:tblW w:w="4998" w:type="pct"/>
        <w:jc w:val="center"/>
        <w:tblLayout w:type="autofit"/>
        <w:tblCellMar>
          <w:top w:w="0" w:type="dxa"/>
          <w:left w:w="108" w:type="dxa"/>
          <w:bottom w:w="0" w:type="dxa"/>
          <w:right w:w="108" w:type="dxa"/>
        </w:tblCellMar>
      </w:tblPr>
      <w:tblGrid>
        <w:gridCol w:w="1960"/>
        <w:gridCol w:w="1631"/>
        <w:gridCol w:w="1621"/>
        <w:gridCol w:w="1698"/>
        <w:gridCol w:w="1609"/>
      </w:tblGrid>
      <w:tr>
        <w:tblPrEx>
          <w:tblCellMar>
            <w:top w:w="0" w:type="dxa"/>
            <w:left w:w="108" w:type="dxa"/>
            <w:bottom w:w="0" w:type="dxa"/>
            <w:right w:w="108" w:type="dxa"/>
          </w:tblCellMar>
        </w:tblPrEx>
        <w:trPr>
          <w:jc w:val="center"/>
        </w:trPr>
        <w:tc>
          <w:tcPr>
            <w:tcW w:w="1150" w:type="pct"/>
            <w:tcBorders>
              <w:top w:val="single" w:color="auto" w:sz="4" w:space="0"/>
              <w:left w:val="nil"/>
              <w:bottom w:val="nil"/>
              <w:right w:val="nil"/>
            </w:tcBorders>
          </w:tcPr>
          <w:p>
            <w:pPr>
              <w:rPr>
                <w:rFonts w:ascii="Times New Roman" w:hAnsi="Times New Roman" w:eastAsia="仿宋" w:cs="Times New Roman"/>
                <w:sz w:val="15"/>
                <w:szCs w:val="15"/>
              </w:rPr>
            </w:pPr>
          </w:p>
        </w:tc>
        <w:tc>
          <w:tcPr>
            <w:tcW w:w="957"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w:t>
            </w:r>
          </w:p>
        </w:tc>
        <w:tc>
          <w:tcPr>
            <w:tcW w:w="951"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（4）</w:t>
            </w:r>
          </w:p>
        </w:tc>
        <w:tc>
          <w:tcPr>
            <w:tcW w:w="996"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（5）</w:t>
            </w:r>
          </w:p>
        </w:tc>
        <w:tc>
          <w:tcPr>
            <w:tcW w:w="944"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（6）</w:t>
            </w:r>
          </w:p>
        </w:tc>
      </w:tr>
      <w:tr>
        <w:tblPrEx>
          <w:tblCellMar>
            <w:top w:w="0" w:type="dxa"/>
            <w:left w:w="108" w:type="dxa"/>
            <w:bottom w:w="0" w:type="dxa"/>
            <w:right w:w="108" w:type="dxa"/>
          </w:tblCellMar>
        </w:tblPrEx>
        <w:trPr>
          <w:jc w:val="center"/>
        </w:trPr>
        <w:tc>
          <w:tcPr>
            <w:tcW w:w="1150"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模型</w:t>
            </w:r>
          </w:p>
        </w:tc>
        <w:tc>
          <w:tcPr>
            <w:tcW w:w="957"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OLS</w:t>
            </w:r>
          </w:p>
        </w:tc>
        <w:tc>
          <w:tcPr>
            <w:tcW w:w="951"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OLS</w:t>
            </w:r>
          </w:p>
        </w:tc>
        <w:tc>
          <w:tcPr>
            <w:tcW w:w="996"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DIFF-GMM</w:t>
            </w:r>
          </w:p>
        </w:tc>
        <w:tc>
          <w:tcPr>
            <w:tcW w:w="944"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SYS-GMM</w:t>
            </w:r>
          </w:p>
        </w:tc>
      </w:tr>
      <w:tr>
        <w:tblPrEx>
          <w:tblCellMar>
            <w:top w:w="0" w:type="dxa"/>
            <w:left w:w="108" w:type="dxa"/>
            <w:bottom w:w="0" w:type="dxa"/>
            <w:right w:w="108" w:type="dxa"/>
          </w:tblCellMar>
        </w:tblPrEx>
        <w:trPr>
          <w:jc w:val="center"/>
        </w:trPr>
        <w:tc>
          <w:tcPr>
            <w:tcW w:w="1150" w:type="pct"/>
            <w:tcBorders>
              <w:top w:val="single" w:color="auto" w:sz="4" w:space="0"/>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gravity</w:t>
            </w:r>
          </w:p>
        </w:tc>
        <w:tc>
          <w:tcPr>
            <w:tcW w:w="1631" w:type="dxa"/>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-0.051*</w:t>
            </w:r>
          </w:p>
        </w:tc>
        <w:tc>
          <w:tcPr>
            <w:tcW w:w="1621" w:type="dxa"/>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-0.048*</w:t>
            </w:r>
          </w:p>
        </w:tc>
        <w:tc>
          <w:tcPr>
            <w:tcW w:w="1698" w:type="dxa"/>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-0.050*</w:t>
            </w:r>
          </w:p>
        </w:tc>
        <w:tc>
          <w:tcPr>
            <w:tcW w:w="1609" w:type="dxa"/>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-0.056**</w:t>
            </w:r>
          </w:p>
        </w:tc>
      </w:tr>
      <w:tr>
        <w:tblPrEx>
          <w:tblCellMar>
            <w:top w:w="0" w:type="dxa"/>
            <w:left w:w="108" w:type="dxa"/>
            <w:bottom w:w="0" w:type="dxa"/>
            <w:right w:w="108" w:type="dxa"/>
          </w:tblCellMar>
        </w:tblPrEx>
        <w:trPr>
          <w:jc w:val="center"/>
        </w:trPr>
        <w:tc>
          <w:tcPr>
            <w:tcW w:w="1150" w:type="pct"/>
            <w:tcBorders>
              <w:top w:val="nil"/>
              <w:left w:val="nil"/>
              <w:bottom w:val="nil"/>
              <w:right w:val="nil"/>
            </w:tcBorders>
          </w:tcPr>
          <w:p>
            <w:pPr>
              <w:jc w:val="center"/>
              <w:rPr>
                <w:rFonts w:ascii="Times New Roman" w:hAnsi="Times New Roman" w:eastAsia="仿宋" w:cs="Times New Roman"/>
                <w:i/>
                <w:iCs/>
                <w:sz w:val="15"/>
                <w:szCs w:val="15"/>
              </w:rPr>
            </w:pPr>
          </w:p>
        </w:tc>
        <w:tc>
          <w:tcPr>
            <w:tcW w:w="163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(0.029)</w:t>
            </w:r>
          </w:p>
        </w:tc>
        <w:tc>
          <w:tcPr>
            <w:tcW w:w="162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(0.028)</w:t>
            </w:r>
          </w:p>
        </w:tc>
        <w:tc>
          <w:tcPr>
            <w:tcW w:w="169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(0.028)</w:t>
            </w:r>
          </w:p>
        </w:tc>
        <w:tc>
          <w:tcPr>
            <w:tcW w:w="160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(0.022)</w:t>
            </w:r>
          </w:p>
        </w:tc>
      </w:tr>
      <w:tr>
        <w:tblPrEx>
          <w:tblCellMar>
            <w:top w:w="0" w:type="dxa"/>
            <w:left w:w="108" w:type="dxa"/>
            <w:bottom w:w="0" w:type="dxa"/>
            <w:right w:w="108" w:type="dxa"/>
          </w:tblCellMar>
        </w:tblPrEx>
        <w:trPr>
          <w:trHeight w:val="90" w:hRule="atLeast"/>
          <w:jc w:val="center"/>
        </w:trPr>
        <w:tc>
          <w:tcPr>
            <w:tcW w:w="1150"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L.op</w:t>
            </w:r>
          </w:p>
        </w:tc>
        <w:tc>
          <w:tcPr>
            <w:tcW w:w="1631" w:type="dxa"/>
            <w:tcBorders>
              <w:top w:val="nil"/>
              <w:left w:val="nil"/>
              <w:bottom w:val="nil"/>
              <w:right w:val="nil"/>
            </w:tcBorders>
          </w:tcPr>
          <w:p>
            <w:pPr>
              <w:jc w:val="center"/>
              <w:rPr>
                <w:rFonts w:ascii="Times New Roman" w:hAnsi="Times New Roman" w:eastAsia="仿宋" w:cs="Times New Roman"/>
                <w:sz w:val="15"/>
                <w:szCs w:val="15"/>
              </w:rPr>
            </w:pPr>
          </w:p>
        </w:tc>
        <w:tc>
          <w:tcPr>
            <w:tcW w:w="1621" w:type="dxa"/>
            <w:tcBorders>
              <w:top w:val="nil"/>
              <w:left w:val="nil"/>
              <w:bottom w:val="nil"/>
              <w:right w:val="nil"/>
            </w:tcBorders>
          </w:tcPr>
          <w:p>
            <w:pPr>
              <w:jc w:val="center"/>
              <w:rPr>
                <w:rFonts w:ascii="Times New Roman" w:hAnsi="Times New Roman" w:eastAsia="仿宋" w:cs="Times New Roman"/>
                <w:sz w:val="15"/>
                <w:szCs w:val="15"/>
              </w:rPr>
            </w:pPr>
          </w:p>
        </w:tc>
        <w:tc>
          <w:tcPr>
            <w:tcW w:w="169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0.280***</w:t>
            </w:r>
          </w:p>
        </w:tc>
        <w:tc>
          <w:tcPr>
            <w:tcW w:w="160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0.287***</w:t>
            </w:r>
          </w:p>
        </w:tc>
      </w:tr>
      <w:tr>
        <w:tblPrEx>
          <w:tblCellMar>
            <w:top w:w="0" w:type="dxa"/>
            <w:left w:w="108" w:type="dxa"/>
            <w:bottom w:w="0" w:type="dxa"/>
            <w:right w:w="108" w:type="dxa"/>
          </w:tblCellMar>
        </w:tblPrEx>
        <w:trPr>
          <w:jc w:val="center"/>
        </w:trPr>
        <w:tc>
          <w:tcPr>
            <w:tcW w:w="1150" w:type="pct"/>
            <w:tcBorders>
              <w:top w:val="nil"/>
              <w:left w:val="nil"/>
              <w:bottom w:val="nil"/>
              <w:right w:val="nil"/>
            </w:tcBorders>
          </w:tcPr>
          <w:p>
            <w:pPr>
              <w:jc w:val="center"/>
              <w:rPr>
                <w:rFonts w:ascii="Times New Roman" w:hAnsi="Times New Roman" w:eastAsia="仿宋" w:cs="Times New Roman"/>
                <w:i/>
                <w:iCs/>
                <w:sz w:val="15"/>
                <w:szCs w:val="15"/>
              </w:rPr>
            </w:pPr>
          </w:p>
        </w:tc>
        <w:tc>
          <w:tcPr>
            <w:tcW w:w="1631" w:type="dxa"/>
            <w:tcBorders>
              <w:top w:val="nil"/>
              <w:left w:val="nil"/>
              <w:bottom w:val="nil"/>
              <w:right w:val="nil"/>
            </w:tcBorders>
          </w:tcPr>
          <w:p>
            <w:pPr>
              <w:jc w:val="center"/>
              <w:rPr>
                <w:rFonts w:ascii="Times New Roman" w:hAnsi="Times New Roman" w:eastAsia="仿宋" w:cs="Times New Roman"/>
                <w:sz w:val="15"/>
                <w:szCs w:val="15"/>
              </w:rPr>
            </w:pPr>
          </w:p>
        </w:tc>
        <w:tc>
          <w:tcPr>
            <w:tcW w:w="1621" w:type="dxa"/>
            <w:tcBorders>
              <w:top w:val="nil"/>
              <w:left w:val="nil"/>
              <w:bottom w:val="nil"/>
              <w:right w:val="nil"/>
            </w:tcBorders>
          </w:tcPr>
          <w:p>
            <w:pPr>
              <w:jc w:val="center"/>
              <w:rPr>
                <w:rFonts w:ascii="Times New Roman" w:hAnsi="Times New Roman" w:eastAsia="仿宋" w:cs="Times New Roman"/>
                <w:sz w:val="15"/>
                <w:szCs w:val="15"/>
              </w:rPr>
            </w:pPr>
          </w:p>
        </w:tc>
        <w:tc>
          <w:tcPr>
            <w:tcW w:w="169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(0.018)</w:t>
            </w:r>
          </w:p>
        </w:tc>
        <w:tc>
          <w:tcPr>
            <w:tcW w:w="160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(0.012)</w:t>
            </w:r>
          </w:p>
        </w:tc>
      </w:tr>
      <w:tr>
        <w:tblPrEx>
          <w:tblCellMar>
            <w:top w:w="0" w:type="dxa"/>
            <w:left w:w="108" w:type="dxa"/>
            <w:bottom w:w="0" w:type="dxa"/>
            <w:right w:w="108" w:type="dxa"/>
          </w:tblCellMar>
        </w:tblPrEx>
        <w:trPr>
          <w:jc w:val="center"/>
        </w:trPr>
        <w:tc>
          <w:tcPr>
            <w:tcW w:w="1960" w:type="dxa"/>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kern w:val="0"/>
                <w:sz w:val="15"/>
                <w:szCs w:val="15"/>
              </w:rPr>
              <w:t>age</w:t>
            </w:r>
          </w:p>
        </w:tc>
        <w:tc>
          <w:tcPr>
            <w:tcW w:w="163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-0.192***</w:t>
            </w:r>
          </w:p>
        </w:tc>
        <w:tc>
          <w:tcPr>
            <w:tcW w:w="162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-0.190***</w:t>
            </w:r>
          </w:p>
        </w:tc>
        <w:tc>
          <w:tcPr>
            <w:tcW w:w="169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0.033</w:t>
            </w:r>
          </w:p>
        </w:tc>
        <w:tc>
          <w:tcPr>
            <w:tcW w:w="160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-0.020</w:t>
            </w:r>
          </w:p>
        </w:tc>
      </w:tr>
      <w:tr>
        <w:tblPrEx>
          <w:tblCellMar>
            <w:top w:w="0" w:type="dxa"/>
            <w:left w:w="108" w:type="dxa"/>
            <w:bottom w:w="0" w:type="dxa"/>
            <w:right w:w="108" w:type="dxa"/>
          </w:tblCellMar>
        </w:tblPrEx>
        <w:trPr>
          <w:jc w:val="center"/>
        </w:trPr>
        <w:tc>
          <w:tcPr>
            <w:tcW w:w="1960" w:type="dxa"/>
            <w:tcBorders>
              <w:top w:val="nil"/>
              <w:left w:val="nil"/>
              <w:bottom w:val="nil"/>
              <w:right w:val="nil"/>
            </w:tcBorders>
          </w:tcPr>
          <w:p>
            <w:pPr>
              <w:jc w:val="center"/>
              <w:rPr>
                <w:rFonts w:ascii="Times New Roman" w:hAnsi="Times New Roman" w:eastAsia="仿宋" w:cs="Times New Roman"/>
                <w:i/>
                <w:iCs/>
                <w:sz w:val="15"/>
                <w:szCs w:val="15"/>
              </w:rPr>
            </w:pPr>
          </w:p>
        </w:tc>
        <w:tc>
          <w:tcPr>
            <w:tcW w:w="163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(0.036)</w:t>
            </w:r>
          </w:p>
        </w:tc>
        <w:tc>
          <w:tcPr>
            <w:tcW w:w="162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(0.036)</w:t>
            </w:r>
          </w:p>
        </w:tc>
        <w:tc>
          <w:tcPr>
            <w:tcW w:w="169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(0.061)</w:t>
            </w:r>
          </w:p>
        </w:tc>
        <w:tc>
          <w:tcPr>
            <w:tcW w:w="160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(0.043)</w:t>
            </w:r>
          </w:p>
        </w:tc>
      </w:tr>
      <w:tr>
        <w:tblPrEx>
          <w:tblCellMar>
            <w:top w:w="0" w:type="dxa"/>
            <w:left w:w="108" w:type="dxa"/>
            <w:bottom w:w="0" w:type="dxa"/>
            <w:right w:w="108" w:type="dxa"/>
          </w:tblCellMar>
        </w:tblPrEx>
        <w:trPr>
          <w:jc w:val="center"/>
        </w:trPr>
        <w:tc>
          <w:tcPr>
            <w:tcW w:w="1960" w:type="dxa"/>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size</w:t>
            </w:r>
          </w:p>
        </w:tc>
        <w:tc>
          <w:tcPr>
            <w:tcW w:w="163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0.609***</w:t>
            </w:r>
          </w:p>
        </w:tc>
        <w:tc>
          <w:tcPr>
            <w:tcW w:w="162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0.610***</w:t>
            </w:r>
          </w:p>
        </w:tc>
        <w:tc>
          <w:tcPr>
            <w:tcW w:w="169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0.430***</w:t>
            </w:r>
          </w:p>
        </w:tc>
        <w:tc>
          <w:tcPr>
            <w:tcW w:w="160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0.408***</w:t>
            </w:r>
          </w:p>
        </w:tc>
      </w:tr>
      <w:tr>
        <w:tblPrEx>
          <w:tblCellMar>
            <w:top w:w="0" w:type="dxa"/>
            <w:left w:w="108" w:type="dxa"/>
            <w:bottom w:w="0" w:type="dxa"/>
            <w:right w:w="108" w:type="dxa"/>
          </w:tblCellMar>
        </w:tblPrEx>
        <w:trPr>
          <w:jc w:val="center"/>
        </w:trPr>
        <w:tc>
          <w:tcPr>
            <w:tcW w:w="1960" w:type="dxa"/>
            <w:tcBorders>
              <w:top w:val="nil"/>
              <w:left w:val="nil"/>
              <w:bottom w:val="nil"/>
              <w:right w:val="nil"/>
            </w:tcBorders>
          </w:tcPr>
          <w:p>
            <w:pPr>
              <w:jc w:val="center"/>
              <w:rPr>
                <w:rFonts w:ascii="Times New Roman" w:hAnsi="Times New Roman" w:eastAsia="仿宋" w:cs="Times New Roman"/>
                <w:i/>
                <w:iCs/>
                <w:sz w:val="15"/>
                <w:szCs w:val="15"/>
              </w:rPr>
            </w:pPr>
          </w:p>
        </w:tc>
        <w:tc>
          <w:tcPr>
            <w:tcW w:w="163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(0.044)</w:t>
            </w:r>
          </w:p>
        </w:tc>
        <w:tc>
          <w:tcPr>
            <w:tcW w:w="162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(0.044)</w:t>
            </w:r>
          </w:p>
        </w:tc>
        <w:tc>
          <w:tcPr>
            <w:tcW w:w="169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(0.032)</w:t>
            </w:r>
          </w:p>
        </w:tc>
        <w:tc>
          <w:tcPr>
            <w:tcW w:w="160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(0.022)</w:t>
            </w:r>
          </w:p>
        </w:tc>
      </w:tr>
      <w:tr>
        <w:tblPrEx>
          <w:tblCellMar>
            <w:top w:w="0" w:type="dxa"/>
            <w:left w:w="108" w:type="dxa"/>
            <w:bottom w:w="0" w:type="dxa"/>
            <w:right w:w="108" w:type="dxa"/>
          </w:tblCellMar>
        </w:tblPrEx>
        <w:trPr>
          <w:jc w:val="center"/>
        </w:trPr>
        <w:tc>
          <w:tcPr>
            <w:tcW w:w="1960" w:type="dxa"/>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soe</w:t>
            </w:r>
          </w:p>
        </w:tc>
        <w:tc>
          <w:tcPr>
            <w:tcW w:w="163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-0.080</w:t>
            </w:r>
          </w:p>
        </w:tc>
        <w:tc>
          <w:tcPr>
            <w:tcW w:w="162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-0.080</w:t>
            </w:r>
          </w:p>
        </w:tc>
        <w:tc>
          <w:tcPr>
            <w:tcW w:w="169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-0.065</w:t>
            </w:r>
          </w:p>
        </w:tc>
        <w:tc>
          <w:tcPr>
            <w:tcW w:w="160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-0.023</w:t>
            </w:r>
          </w:p>
        </w:tc>
      </w:tr>
      <w:tr>
        <w:tblPrEx>
          <w:tblCellMar>
            <w:top w:w="0" w:type="dxa"/>
            <w:left w:w="108" w:type="dxa"/>
            <w:bottom w:w="0" w:type="dxa"/>
            <w:right w:w="108" w:type="dxa"/>
          </w:tblCellMar>
        </w:tblPrEx>
        <w:trPr>
          <w:jc w:val="center"/>
        </w:trPr>
        <w:tc>
          <w:tcPr>
            <w:tcW w:w="1960" w:type="dxa"/>
            <w:tcBorders>
              <w:top w:val="nil"/>
              <w:left w:val="nil"/>
              <w:bottom w:val="nil"/>
              <w:right w:val="nil"/>
            </w:tcBorders>
          </w:tcPr>
          <w:p>
            <w:pPr>
              <w:jc w:val="center"/>
              <w:rPr>
                <w:rFonts w:ascii="Times New Roman" w:hAnsi="Times New Roman" w:eastAsia="仿宋" w:cs="Times New Roman"/>
                <w:i/>
                <w:iCs/>
                <w:sz w:val="15"/>
                <w:szCs w:val="15"/>
              </w:rPr>
            </w:pPr>
          </w:p>
        </w:tc>
        <w:tc>
          <w:tcPr>
            <w:tcW w:w="163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(0.069)</w:t>
            </w:r>
          </w:p>
        </w:tc>
        <w:tc>
          <w:tcPr>
            <w:tcW w:w="162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(0.069)</w:t>
            </w:r>
          </w:p>
        </w:tc>
        <w:tc>
          <w:tcPr>
            <w:tcW w:w="169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(0.043)</w:t>
            </w:r>
          </w:p>
        </w:tc>
        <w:tc>
          <w:tcPr>
            <w:tcW w:w="160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(0.035)</w:t>
            </w:r>
          </w:p>
        </w:tc>
      </w:tr>
      <w:tr>
        <w:tblPrEx>
          <w:tblCellMar>
            <w:top w:w="0" w:type="dxa"/>
            <w:left w:w="108" w:type="dxa"/>
            <w:bottom w:w="0" w:type="dxa"/>
            <w:right w:w="108" w:type="dxa"/>
          </w:tblCellMar>
        </w:tblPrEx>
        <w:trPr>
          <w:jc w:val="center"/>
        </w:trPr>
        <w:tc>
          <w:tcPr>
            <w:tcW w:w="1960" w:type="dxa"/>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kern w:val="0"/>
                <w:sz w:val="15"/>
                <w:szCs w:val="15"/>
              </w:rPr>
              <w:t>klr</w:t>
            </w:r>
          </w:p>
        </w:tc>
        <w:tc>
          <w:tcPr>
            <w:tcW w:w="163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0.824***</w:t>
            </w:r>
          </w:p>
        </w:tc>
        <w:tc>
          <w:tcPr>
            <w:tcW w:w="162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0.824***</w:t>
            </w:r>
          </w:p>
        </w:tc>
        <w:tc>
          <w:tcPr>
            <w:tcW w:w="169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0.629***</w:t>
            </w:r>
          </w:p>
        </w:tc>
        <w:tc>
          <w:tcPr>
            <w:tcW w:w="160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0.171***</w:t>
            </w:r>
          </w:p>
        </w:tc>
      </w:tr>
      <w:tr>
        <w:tblPrEx>
          <w:tblCellMar>
            <w:top w:w="0" w:type="dxa"/>
            <w:left w:w="108" w:type="dxa"/>
            <w:bottom w:w="0" w:type="dxa"/>
            <w:right w:w="108" w:type="dxa"/>
          </w:tblCellMar>
        </w:tblPrEx>
        <w:trPr>
          <w:jc w:val="center"/>
        </w:trPr>
        <w:tc>
          <w:tcPr>
            <w:tcW w:w="1960" w:type="dxa"/>
            <w:tcBorders>
              <w:top w:val="nil"/>
              <w:left w:val="nil"/>
              <w:bottom w:val="nil"/>
              <w:right w:val="nil"/>
            </w:tcBorders>
          </w:tcPr>
          <w:p>
            <w:pPr>
              <w:jc w:val="center"/>
              <w:rPr>
                <w:rFonts w:ascii="Times New Roman" w:hAnsi="Times New Roman" w:eastAsia="仿宋" w:cs="Times New Roman"/>
                <w:i/>
                <w:iCs/>
                <w:sz w:val="15"/>
                <w:szCs w:val="15"/>
              </w:rPr>
            </w:pPr>
          </w:p>
        </w:tc>
        <w:tc>
          <w:tcPr>
            <w:tcW w:w="163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(0.134)</w:t>
            </w:r>
          </w:p>
        </w:tc>
        <w:tc>
          <w:tcPr>
            <w:tcW w:w="162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(0.134)</w:t>
            </w:r>
          </w:p>
        </w:tc>
        <w:tc>
          <w:tcPr>
            <w:tcW w:w="169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(0.034)</w:t>
            </w:r>
          </w:p>
        </w:tc>
        <w:tc>
          <w:tcPr>
            <w:tcW w:w="160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(0.027)</w:t>
            </w:r>
          </w:p>
        </w:tc>
      </w:tr>
      <w:tr>
        <w:tblPrEx>
          <w:tblCellMar>
            <w:top w:w="0" w:type="dxa"/>
            <w:left w:w="108" w:type="dxa"/>
            <w:bottom w:w="0" w:type="dxa"/>
            <w:right w:w="108" w:type="dxa"/>
          </w:tblCellMar>
        </w:tblPrEx>
        <w:trPr>
          <w:jc w:val="center"/>
        </w:trPr>
        <w:tc>
          <w:tcPr>
            <w:tcW w:w="1960" w:type="dxa"/>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kern w:val="0"/>
                <w:sz w:val="15"/>
                <w:szCs w:val="15"/>
              </w:rPr>
              <w:t>per_industry2</w:t>
            </w:r>
          </w:p>
        </w:tc>
        <w:tc>
          <w:tcPr>
            <w:tcW w:w="163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0.001</w:t>
            </w:r>
          </w:p>
        </w:tc>
        <w:tc>
          <w:tcPr>
            <w:tcW w:w="162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0.002</w:t>
            </w:r>
          </w:p>
        </w:tc>
        <w:tc>
          <w:tcPr>
            <w:tcW w:w="169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-0.001</w:t>
            </w:r>
          </w:p>
        </w:tc>
        <w:tc>
          <w:tcPr>
            <w:tcW w:w="160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-0.001</w:t>
            </w:r>
          </w:p>
        </w:tc>
      </w:tr>
      <w:tr>
        <w:tblPrEx>
          <w:tblCellMar>
            <w:top w:w="0" w:type="dxa"/>
            <w:left w:w="108" w:type="dxa"/>
            <w:bottom w:w="0" w:type="dxa"/>
            <w:right w:w="108" w:type="dxa"/>
          </w:tblCellMar>
        </w:tblPrEx>
        <w:trPr>
          <w:jc w:val="center"/>
        </w:trPr>
        <w:tc>
          <w:tcPr>
            <w:tcW w:w="1960" w:type="dxa"/>
            <w:tcBorders>
              <w:top w:val="nil"/>
              <w:left w:val="nil"/>
              <w:bottom w:val="nil"/>
              <w:right w:val="nil"/>
            </w:tcBorders>
          </w:tcPr>
          <w:p>
            <w:pPr>
              <w:jc w:val="center"/>
              <w:rPr>
                <w:rFonts w:ascii="Times New Roman" w:hAnsi="Times New Roman" w:eastAsia="仿宋" w:cs="Times New Roman"/>
                <w:i/>
                <w:iCs/>
                <w:sz w:val="15"/>
                <w:szCs w:val="15"/>
              </w:rPr>
            </w:pPr>
          </w:p>
        </w:tc>
        <w:tc>
          <w:tcPr>
            <w:tcW w:w="163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(0.003)</w:t>
            </w:r>
          </w:p>
        </w:tc>
        <w:tc>
          <w:tcPr>
            <w:tcW w:w="162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(0.003)</w:t>
            </w:r>
          </w:p>
        </w:tc>
        <w:tc>
          <w:tcPr>
            <w:tcW w:w="169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(0.003)</w:t>
            </w:r>
          </w:p>
        </w:tc>
        <w:tc>
          <w:tcPr>
            <w:tcW w:w="160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(0.003)</w:t>
            </w:r>
          </w:p>
        </w:tc>
      </w:tr>
      <w:tr>
        <w:tblPrEx>
          <w:tblCellMar>
            <w:top w:w="0" w:type="dxa"/>
            <w:left w:w="108" w:type="dxa"/>
            <w:bottom w:w="0" w:type="dxa"/>
            <w:right w:w="108" w:type="dxa"/>
          </w:tblCellMar>
        </w:tblPrEx>
        <w:trPr>
          <w:jc w:val="center"/>
        </w:trPr>
        <w:tc>
          <w:tcPr>
            <w:tcW w:w="1960" w:type="dxa"/>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kern w:val="0"/>
                <w:sz w:val="15"/>
                <w:szCs w:val="15"/>
              </w:rPr>
              <w:t>Fix_inves</w:t>
            </w:r>
            <w:r>
              <w:rPr>
                <w:rFonts w:ascii="Times New Roman" w:hAnsi="Times New Roman" w:eastAsia="仿宋" w:cs="Times New Roman"/>
                <w:i/>
                <w:iCs/>
                <w:sz w:val="15"/>
                <w:szCs w:val="15"/>
              </w:rPr>
              <w:t>t</w:t>
            </w:r>
          </w:p>
        </w:tc>
        <w:tc>
          <w:tcPr>
            <w:tcW w:w="163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0.046</w:t>
            </w:r>
          </w:p>
        </w:tc>
        <w:tc>
          <w:tcPr>
            <w:tcW w:w="162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0.039</w:t>
            </w:r>
          </w:p>
        </w:tc>
        <w:tc>
          <w:tcPr>
            <w:tcW w:w="169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0.091</w:t>
            </w:r>
          </w:p>
        </w:tc>
        <w:tc>
          <w:tcPr>
            <w:tcW w:w="160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0.042</w:t>
            </w:r>
          </w:p>
        </w:tc>
      </w:tr>
      <w:tr>
        <w:tblPrEx>
          <w:tblCellMar>
            <w:top w:w="0" w:type="dxa"/>
            <w:left w:w="108" w:type="dxa"/>
            <w:bottom w:w="0" w:type="dxa"/>
            <w:right w:w="108" w:type="dxa"/>
          </w:tblCellMar>
        </w:tblPrEx>
        <w:trPr>
          <w:jc w:val="center"/>
        </w:trPr>
        <w:tc>
          <w:tcPr>
            <w:tcW w:w="1960" w:type="dxa"/>
            <w:tcBorders>
              <w:top w:val="nil"/>
              <w:left w:val="nil"/>
              <w:bottom w:val="nil"/>
              <w:right w:val="nil"/>
            </w:tcBorders>
          </w:tcPr>
          <w:p>
            <w:pPr>
              <w:jc w:val="center"/>
              <w:rPr>
                <w:rFonts w:ascii="Times New Roman" w:hAnsi="Times New Roman" w:eastAsia="仿宋" w:cs="Times New Roman"/>
                <w:i/>
                <w:iCs/>
                <w:sz w:val="15"/>
                <w:szCs w:val="15"/>
              </w:rPr>
            </w:pPr>
          </w:p>
        </w:tc>
        <w:tc>
          <w:tcPr>
            <w:tcW w:w="163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(0.044)</w:t>
            </w:r>
          </w:p>
        </w:tc>
        <w:tc>
          <w:tcPr>
            <w:tcW w:w="162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(0.044)</w:t>
            </w:r>
          </w:p>
        </w:tc>
        <w:tc>
          <w:tcPr>
            <w:tcW w:w="169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(0.064)</w:t>
            </w:r>
          </w:p>
        </w:tc>
        <w:tc>
          <w:tcPr>
            <w:tcW w:w="160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(0.046)</w:t>
            </w:r>
          </w:p>
        </w:tc>
      </w:tr>
      <w:tr>
        <w:tblPrEx>
          <w:tblCellMar>
            <w:top w:w="0" w:type="dxa"/>
            <w:left w:w="108" w:type="dxa"/>
            <w:bottom w:w="0" w:type="dxa"/>
            <w:right w:w="108" w:type="dxa"/>
          </w:tblCellMar>
        </w:tblPrEx>
        <w:trPr>
          <w:jc w:val="center"/>
        </w:trPr>
        <w:tc>
          <w:tcPr>
            <w:tcW w:w="1150"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ins</w:t>
            </w:r>
          </w:p>
        </w:tc>
        <w:tc>
          <w:tcPr>
            <w:tcW w:w="163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0.000</w:t>
            </w:r>
          </w:p>
        </w:tc>
        <w:tc>
          <w:tcPr>
            <w:tcW w:w="162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0.003</w:t>
            </w:r>
          </w:p>
        </w:tc>
        <w:tc>
          <w:tcPr>
            <w:tcW w:w="169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0.041</w:t>
            </w:r>
          </w:p>
        </w:tc>
        <w:tc>
          <w:tcPr>
            <w:tcW w:w="160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0.021</w:t>
            </w:r>
          </w:p>
        </w:tc>
      </w:tr>
      <w:tr>
        <w:tblPrEx>
          <w:tblCellMar>
            <w:top w:w="0" w:type="dxa"/>
            <w:left w:w="108" w:type="dxa"/>
            <w:bottom w:w="0" w:type="dxa"/>
            <w:right w:w="108" w:type="dxa"/>
          </w:tblCellMar>
        </w:tblPrEx>
        <w:trPr>
          <w:jc w:val="center"/>
        </w:trPr>
        <w:tc>
          <w:tcPr>
            <w:tcW w:w="1150" w:type="pct"/>
            <w:tcBorders>
              <w:top w:val="nil"/>
              <w:left w:val="nil"/>
              <w:bottom w:val="nil"/>
              <w:right w:val="nil"/>
            </w:tcBorders>
          </w:tcPr>
          <w:p>
            <w:pPr>
              <w:jc w:val="center"/>
              <w:rPr>
                <w:rFonts w:ascii="Times New Roman" w:hAnsi="Times New Roman" w:eastAsia="仿宋" w:cs="Times New Roman"/>
                <w:i/>
                <w:iCs/>
                <w:sz w:val="15"/>
                <w:szCs w:val="15"/>
              </w:rPr>
            </w:pPr>
          </w:p>
        </w:tc>
        <w:tc>
          <w:tcPr>
            <w:tcW w:w="163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(0.016)</w:t>
            </w:r>
          </w:p>
        </w:tc>
        <w:tc>
          <w:tcPr>
            <w:tcW w:w="162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(0.015)</w:t>
            </w:r>
          </w:p>
        </w:tc>
        <w:tc>
          <w:tcPr>
            <w:tcW w:w="169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(0.032)</w:t>
            </w:r>
          </w:p>
        </w:tc>
        <w:tc>
          <w:tcPr>
            <w:tcW w:w="160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(0.018)</w:t>
            </w:r>
          </w:p>
        </w:tc>
      </w:tr>
      <w:tr>
        <w:tblPrEx>
          <w:tblCellMar>
            <w:top w:w="0" w:type="dxa"/>
            <w:left w:w="108" w:type="dxa"/>
            <w:bottom w:w="0" w:type="dxa"/>
            <w:right w:w="108" w:type="dxa"/>
          </w:tblCellMar>
        </w:tblPrEx>
        <w:trPr>
          <w:jc w:val="center"/>
        </w:trPr>
        <w:tc>
          <w:tcPr>
            <w:tcW w:w="1150"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fdi</w:t>
            </w:r>
          </w:p>
        </w:tc>
        <w:tc>
          <w:tcPr>
            <w:tcW w:w="1631" w:type="dxa"/>
            <w:tcBorders>
              <w:top w:val="nil"/>
              <w:left w:val="nil"/>
              <w:bottom w:val="nil"/>
              <w:right w:val="nil"/>
            </w:tcBorders>
          </w:tcPr>
          <w:p>
            <w:pPr>
              <w:jc w:val="center"/>
              <w:rPr>
                <w:rFonts w:ascii="Times New Roman" w:hAnsi="Times New Roman" w:eastAsia="仿宋" w:cs="Times New Roman"/>
                <w:sz w:val="15"/>
                <w:szCs w:val="15"/>
              </w:rPr>
            </w:pPr>
          </w:p>
        </w:tc>
        <w:tc>
          <w:tcPr>
            <w:tcW w:w="162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-0.216</w:t>
            </w:r>
          </w:p>
        </w:tc>
        <w:tc>
          <w:tcPr>
            <w:tcW w:w="169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0.001</w:t>
            </w:r>
          </w:p>
        </w:tc>
        <w:tc>
          <w:tcPr>
            <w:tcW w:w="160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0.347</w:t>
            </w:r>
          </w:p>
        </w:tc>
      </w:tr>
      <w:tr>
        <w:tblPrEx>
          <w:tblCellMar>
            <w:top w:w="0" w:type="dxa"/>
            <w:left w:w="108" w:type="dxa"/>
            <w:bottom w:w="0" w:type="dxa"/>
            <w:right w:w="108" w:type="dxa"/>
          </w:tblCellMar>
        </w:tblPrEx>
        <w:trPr>
          <w:jc w:val="center"/>
        </w:trPr>
        <w:tc>
          <w:tcPr>
            <w:tcW w:w="1150" w:type="pct"/>
            <w:tcBorders>
              <w:top w:val="nil"/>
              <w:left w:val="nil"/>
              <w:bottom w:val="nil"/>
              <w:right w:val="nil"/>
            </w:tcBorders>
          </w:tcPr>
          <w:p>
            <w:pPr>
              <w:jc w:val="center"/>
              <w:rPr>
                <w:rFonts w:ascii="Times New Roman" w:hAnsi="Times New Roman" w:eastAsia="仿宋" w:cs="Times New Roman"/>
                <w:i/>
                <w:iCs/>
                <w:sz w:val="15"/>
                <w:szCs w:val="15"/>
              </w:rPr>
            </w:pPr>
          </w:p>
        </w:tc>
        <w:tc>
          <w:tcPr>
            <w:tcW w:w="1631" w:type="dxa"/>
            <w:tcBorders>
              <w:top w:val="nil"/>
              <w:left w:val="nil"/>
              <w:bottom w:val="nil"/>
              <w:right w:val="nil"/>
            </w:tcBorders>
          </w:tcPr>
          <w:p>
            <w:pPr>
              <w:jc w:val="center"/>
              <w:rPr>
                <w:rFonts w:ascii="Times New Roman" w:hAnsi="Times New Roman" w:eastAsia="仿宋" w:cs="Times New Roman"/>
                <w:sz w:val="15"/>
                <w:szCs w:val="15"/>
              </w:rPr>
            </w:pPr>
          </w:p>
        </w:tc>
        <w:tc>
          <w:tcPr>
            <w:tcW w:w="162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(0.180)</w:t>
            </w:r>
          </w:p>
        </w:tc>
        <w:tc>
          <w:tcPr>
            <w:tcW w:w="169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(0.226)</w:t>
            </w:r>
          </w:p>
        </w:tc>
        <w:tc>
          <w:tcPr>
            <w:tcW w:w="160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(0.231)</w:t>
            </w:r>
          </w:p>
        </w:tc>
      </w:tr>
      <w:tr>
        <w:tblPrEx>
          <w:tblCellMar>
            <w:top w:w="0" w:type="dxa"/>
            <w:left w:w="108" w:type="dxa"/>
            <w:bottom w:w="0" w:type="dxa"/>
            <w:right w:w="108" w:type="dxa"/>
          </w:tblCellMar>
        </w:tblPrEx>
        <w:trPr>
          <w:jc w:val="center"/>
        </w:trPr>
        <w:tc>
          <w:tcPr>
            <w:tcW w:w="1150"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cons</w:t>
            </w:r>
          </w:p>
        </w:tc>
        <w:tc>
          <w:tcPr>
            <w:tcW w:w="163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0.673</w:t>
            </w:r>
          </w:p>
        </w:tc>
        <w:tc>
          <w:tcPr>
            <w:tcW w:w="162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0.704</w:t>
            </w:r>
          </w:p>
        </w:tc>
        <w:tc>
          <w:tcPr>
            <w:tcW w:w="996" w:type="pct"/>
            <w:tcBorders>
              <w:top w:val="nil"/>
              <w:left w:val="nil"/>
              <w:bottom w:val="nil"/>
              <w:right w:val="nil"/>
            </w:tcBorders>
          </w:tcPr>
          <w:p>
            <w:pPr>
              <w:jc w:val="center"/>
              <w:rPr>
                <w:rFonts w:ascii="Times New Roman" w:hAnsi="Times New Roman" w:eastAsia="仿宋" w:cs="Times New Roman"/>
                <w:sz w:val="15"/>
                <w:szCs w:val="15"/>
              </w:rPr>
            </w:pPr>
          </w:p>
        </w:tc>
        <w:tc>
          <w:tcPr>
            <w:tcW w:w="160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0.298</w:t>
            </w:r>
          </w:p>
        </w:tc>
      </w:tr>
      <w:tr>
        <w:tblPrEx>
          <w:tblCellMar>
            <w:top w:w="0" w:type="dxa"/>
            <w:left w:w="108" w:type="dxa"/>
            <w:bottom w:w="0" w:type="dxa"/>
            <w:right w:w="108" w:type="dxa"/>
          </w:tblCellMar>
        </w:tblPrEx>
        <w:trPr>
          <w:jc w:val="center"/>
        </w:trPr>
        <w:tc>
          <w:tcPr>
            <w:tcW w:w="1150" w:type="pct"/>
            <w:tcBorders>
              <w:top w:val="nil"/>
              <w:left w:val="nil"/>
              <w:bottom w:val="nil"/>
              <w:right w:val="nil"/>
            </w:tcBorders>
          </w:tcPr>
          <w:p>
            <w:pPr>
              <w:jc w:val="center"/>
              <w:rPr>
                <w:rFonts w:ascii="Times New Roman" w:hAnsi="Times New Roman" w:eastAsia="仿宋" w:cs="Times New Roman"/>
                <w:i/>
                <w:iCs/>
                <w:sz w:val="15"/>
                <w:szCs w:val="15"/>
              </w:rPr>
            </w:pPr>
          </w:p>
        </w:tc>
        <w:tc>
          <w:tcPr>
            <w:tcW w:w="163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(0.990)</w:t>
            </w:r>
          </w:p>
        </w:tc>
        <w:tc>
          <w:tcPr>
            <w:tcW w:w="162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(0.983)</w:t>
            </w:r>
          </w:p>
        </w:tc>
        <w:tc>
          <w:tcPr>
            <w:tcW w:w="996" w:type="pct"/>
            <w:tcBorders>
              <w:top w:val="nil"/>
              <w:left w:val="nil"/>
              <w:bottom w:val="nil"/>
              <w:right w:val="nil"/>
            </w:tcBorders>
          </w:tcPr>
          <w:p>
            <w:pPr>
              <w:jc w:val="center"/>
              <w:rPr>
                <w:rFonts w:ascii="Times New Roman" w:hAnsi="Times New Roman" w:eastAsia="仿宋" w:cs="Times New Roman"/>
                <w:sz w:val="15"/>
                <w:szCs w:val="15"/>
              </w:rPr>
            </w:pPr>
          </w:p>
        </w:tc>
        <w:tc>
          <w:tcPr>
            <w:tcW w:w="160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(1.934)</w:t>
            </w:r>
          </w:p>
        </w:tc>
      </w:tr>
      <w:tr>
        <w:tblPrEx>
          <w:tblCellMar>
            <w:top w:w="0" w:type="dxa"/>
            <w:left w:w="108" w:type="dxa"/>
            <w:bottom w:w="0" w:type="dxa"/>
            <w:right w:w="108" w:type="dxa"/>
          </w:tblCellMar>
        </w:tblPrEx>
        <w:trPr>
          <w:jc w:val="center"/>
        </w:trPr>
        <w:tc>
          <w:tcPr>
            <w:tcW w:w="1150"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企业固定效应</w:t>
            </w:r>
          </w:p>
        </w:tc>
        <w:tc>
          <w:tcPr>
            <w:tcW w:w="95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95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996"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94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r>
      <w:tr>
        <w:tblPrEx>
          <w:tblCellMar>
            <w:top w:w="0" w:type="dxa"/>
            <w:left w:w="108" w:type="dxa"/>
            <w:bottom w:w="0" w:type="dxa"/>
            <w:right w:w="108" w:type="dxa"/>
          </w:tblCellMar>
        </w:tblPrEx>
        <w:trPr>
          <w:jc w:val="center"/>
        </w:trPr>
        <w:tc>
          <w:tcPr>
            <w:tcW w:w="1150"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年份固定效应</w:t>
            </w:r>
          </w:p>
        </w:tc>
        <w:tc>
          <w:tcPr>
            <w:tcW w:w="957"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95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996"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94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r>
      <w:tr>
        <w:tblPrEx>
          <w:tblCellMar>
            <w:top w:w="0" w:type="dxa"/>
            <w:left w:w="108" w:type="dxa"/>
            <w:bottom w:w="0" w:type="dxa"/>
            <w:right w:w="108" w:type="dxa"/>
          </w:tblCellMar>
        </w:tblPrEx>
        <w:trPr>
          <w:jc w:val="center"/>
        </w:trPr>
        <w:tc>
          <w:tcPr>
            <w:tcW w:w="1150"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AR(1)</w:t>
            </w:r>
          </w:p>
        </w:tc>
        <w:tc>
          <w:tcPr>
            <w:tcW w:w="957" w:type="pct"/>
            <w:tcBorders>
              <w:top w:val="nil"/>
              <w:left w:val="nil"/>
              <w:bottom w:val="nil"/>
              <w:right w:val="nil"/>
            </w:tcBorders>
          </w:tcPr>
          <w:p>
            <w:pPr>
              <w:jc w:val="center"/>
              <w:rPr>
                <w:rFonts w:ascii="Times New Roman" w:hAnsi="Times New Roman" w:eastAsia="仿宋" w:cs="Times New Roman"/>
                <w:sz w:val="15"/>
                <w:szCs w:val="15"/>
              </w:rPr>
            </w:pPr>
          </w:p>
        </w:tc>
        <w:tc>
          <w:tcPr>
            <w:tcW w:w="951" w:type="pct"/>
            <w:tcBorders>
              <w:top w:val="nil"/>
              <w:left w:val="nil"/>
              <w:bottom w:val="nil"/>
              <w:right w:val="nil"/>
            </w:tcBorders>
          </w:tcPr>
          <w:p>
            <w:pPr>
              <w:jc w:val="center"/>
              <w:rPr>
                <w:rFonts w:ascii="Times New Roman" w:hAnsi="Times New Roman" w:eastAsia="仿宋" w:cs="Times New Roman"/>
                <w:sz w:val="15"/>
                <w:szCs w:val="15"/>
              </w:rPr>
            </w:pPr>
          </w:p>
        </w:tc>
        <w:tc>
          <w:tcPr>
            <w:tcW w:w="996"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0.000</w:t>
            </w:r>
          </w:p>
        </w:tc>
        <w:tc>
          <w:tcPr>
            <w:tcW w:w="94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0.000</w:t>
            </w:r>
          </w:p>
        </w:tc>
      </w:tr>
      <w:tr>
        <w:tblPrEx>
          <w:tblCellMar>
            <w:top w:w="0" w:type="dxa"/>
            <w:left w:w="108" w:type="dxa"/>
            <w:bottom w:w="0" w:type="dxa"/>
            <w:right w:w="108" w:type="dxa"/>
          </w:tblCellMar>
        </w:tblPrEx>
        <w:trPr>
          <w:jc w:val="center"/>
        </w:trPr>
        <w:tc>
          <w:tcPr>
            <w:tcW w:w="1150"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AR(2)</w:t>
            </w:r>
          </w:p>
        </w:tc>
        <w:tc>
          <w:tcPr>
            <w:tcW w:w="957" w:type="pct"/>
            <w:tcBorders>
              <w:top w:val="nil"/>
              <w:left w:val="nil"/>
              <w:bottom w:val="nil"/>
              <w:right w:val="nil"/>
            </w:tcBorders>
          </w:tcPr>
          <w:p>
            <w:pPr>
              <w:jc w:val="center"/>
              <w:rPr>
                <w:rFonts w:ascii="Times New Roman" w:hAnsi="Times New Roman" w:eastAsia="仿宋" w:cs="Times New Roman"/>
                <w:sz w:val="15"/>
                <w:szCs w:val="15"/>
              </w:rPr>
            </w:pPr>
          </w:p>
        </w:tc>
        <w:tc>
          <w:tcPr>
            <w:tcW w:w="951" w:type="pct"/>
            <w:tcBorders>
              <w:top w:val="nil"/>
              <w:left w:val="nil"/>
              <w:bottom w:val="nil"/>
              <w:right w:val="nil"/>
            </w:tcBorders>
          </w:tcPr>
          <w:p>
            <w:pPr>
              <w:jc w:val="center"/>
              <w:rPr>
                <w:rFonts w:ascii="Times New Roman" w:hAnsi="Times New Roman" w:eastAsia="仿宋" w:cs="Times New Roman"/>
                <w:sz w:val="15"/>
                <w:szCs w:val="15"/>
              </w:rPr>
            </w:pPr>
          </w:p>
        </w:tc>
        <w:tc>
          <w:tcPr>
            <w:tcW w:w="996" w:type="pct"/>
            <w:tcBorders>
              <w:top w:val="nil"/>
              <w:left w:val="nil"/>
              <w:bottom w:val="nil"/>
              <w:right w:val="nil"/>
            </w:tcBorders>
          </w:tcPr>
          <w:p>
            <w:pPr>
              <w:jc w:val="center"/>
              <w:rPr>
                <w:rFonts w:ascii="Times New Roman" w:hAnsi="Times New Roman" w:eastAsia="仿宋" w:cs="Times New Roman"/>
                <w:sz w:val="15"/>
                <w:szCs w:val="15"/>
              </w:rPr>
            </w:pPr>
            <w:r>
              <w:rPr>
                <w:rFonts w:hint="eastAsia" w:ascii="Times New Roman" w:hAnsi="Times New Roman" w:eastAsia="仿宋" w:cs="Times New Roman"/>
                <w:sz w:val="15"/>
                <w:szCs w:val="15"/>
              </w:rPr>
              <w:t>0.960</w:t>
            </w:r>
          </w:p>
        </w:tc>
        <w:tc>
          <w:tcPr>
            <w:tcW w:w="944" w:type="pct"/>
            <w:tcBorders>
              <w:top w:val="nil"/>
              <w:left w:val="nil"/>
              <w:bottom w:val="nil"/>
              <w:right w:val="nil"/>
            </w:tcBorders>
          </w:tcPr>
          <w:p>
            <w:pPr>
              <w:jc w:val="center"/>
              <w:rPr>
                <w:rFonts w:ascii="Times New Roman" w:hAnsi="Times New Roman" w:eastAsia="仿宋" w:cs="Times New Roman"/>
                <w:sz w:val="15"/>
                <w:szCs w:val="15"/>
              </w:rPr>
            </w:pPr>
            <w:r>
              <w:rPr>
                <w:rFonts w:hint="eastAsia" w:ascii="Times New Roman" w:hAnsi="Times New Roman" w:eastAsia="仿宋" w:cs="Times New Roman"/>
                <w:sz w:val="15"/>
                <w:szCs w:val="15"/>
              </w:rPr>
              <w:t>0.923</w:t>
            </w:r>
          </w:p>
        </w:tc>
      </w:tr>
      <w:tr>
        <w:tblPrEx>
          <w:tblCellMar>
            <w:top w:w="0" w:type="dxa"/>
            <w:left w:w="108" w:type="dxa"/>
            <w:bottom w:w="0" w:type="dxa"/>
            <w:right w:w="108" w:type="dxa"/>
          </w:tblCellMar>
        </w:tblPrEx>
        <w:trPr>
          <w:jc w:val="center"/>
        </w:trPr>
        <w:tc>
          <w:tcPr>
            <w:tcW w:w="1150"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Hansen test</w:t>
            </w:r>
          </w:p>
        </w:tc>
        <w:tc>
          <w:tcPr>
            <w:tcW w:w="957" w:type="pct"/>
            <w:tcBorders>
              <w:top w:val="nil"/>
              <w:left w:val="nil"/>
              <w:bottom w:val="nil"/>
              <w:right w:val="nil"/>
            </w:tcBorders>
          </w:tcPr>
          <w:p>
            <w:pPr>
              <w:jc w:val="center"/>
              <w:rPr>
                <w:rFonts w:ascii="Times New Roman" w:hAnsi="Times New Roman" w:eastAsia="仿宋" w:cs="Times New Roman"/>
                <w:sz w:val="15"/>
                <w:szCs w:val="15"/>
              </w:rPr>
            </w:pPr>
          </w:p>
        </w:tc>
        <w:tc>
          <w:tcPr>
            <w:tcW w:w="951" w:type="pct"/>
            <w:tcBorders>
              <w:top w:val="nil"/>
              <w:left w:val="nil"/>
              <w:bottom w:val="nil"/>
              <w:right w:val="nil"/>
            </w:tcBorders>
          </w:tcPr>
          <w:p>
            <w:pPr>
              <w:jc w:val="center"/>
              <w:rPr>
                <w:rFonts w:ascii="Times New Roman" w:hAnsi="Times New Roman" w:eastAsia="仿宋" w:cs="Times New Roman"/>
                <w:sz w:val="15"/>
                <w:szCs w:val="15"/>
              </w:rPr>
            </w:pPr>
          </w:p>
        </w:tc>
        <w:tc>
          <w:tcPr>
            <w:tcW w:w="996" w:type="pct"/>
            <w:tcBorders>
              <w:top w:val="nil"/>
              <w:left w:val="nil"/>
              <w:bottom w:val="nil"/>
              <w:right w:val="nil"/>
            </w:tcBorders>
          </w:tcPr>
          <w:p>
            <w:pPr>
              <w:jc w:val="center"/>
              <w:rPr>
                <w:rFonts w:ascii="Times New Roman" w:hAnsi="Times New Roman" w:eastAsia="仿宋" w:cs="Times New Roman"/>
                <w:sz w:val="15"/>
                <w:szCs w:val="15"/>
              </w:rPr>
            </w:pPr>
            <w:r>
              <w:rPr>
                <w:rFonts w:hint="eastAsia" w:ascii="Times New Roman" w:hAnsi="Times New Roman" w:eastAsia="仿宋" w:cs="Times New Roman"/>
                <w:sz w:val="15"/>
                <w:szCs w:val="15"/>
              </w:rPr>
              <w:t>0.689</w:t>
            </w:r>
          </w:p>
        </w:tc>
        <w:tc>
          <w:tcPr>
            <w:tcW w:w="944" w:type="pct"/>
            <w:tcBorders>
              <w:top w:val="nil"/>
              <w:left w:val="nil"/>
              <w:bottom w:val="nil"/>
              <w:right w:val="nil"/>
            </w:tcBorders>
          </w:tcPr>
          <w:p>
            <w:pPr>
              <w:jc w:val="center"/>
              <w:rPr>
                <w:rFonts w:ascii="Times New Roman" w:hAnsi="Times New Roman" w:eastAsia="仿宋" w:cs="Times New Roman"/>
                <w:sz w:val="15"/>
                <w:szCs w:val="15"/>
              </w:rPr>
            </w:pPr>
            <w:r>
              <w:rPr>
                <w:rFonts w:hint="eastAsia" w:ascii="Times New Roman" w:hAnsi="Times New Roman" w:eastAsia="仿宋" w:cs="Times New Roman"/>
                <w:sz w:val="15"/>
                <w:szCs w:val="15"/>
              </w:rPr>
              <w:t>0.970</w:t>
            </w:r>
          </w:p>
        </w:tc>
      </w:tr>
      <w:tr>
        <w:tblPrEx>
          <w:tblCellMar>
            <w:top w:w="0" w:type="dxa"/>
            <w:left w:w="108" w:type="dxa"/>
            <w:bottom w:w="0" w:type="dxa"/>
            <w:right w:w="108" w:type="dxa"/>
          </w:tblCellMar>
        </w:tblPrEx>
        <w:trPr>
          <w:jc w:val="center"/>
        </w:trPr>
        <w:tc>
          <w:tcPr>
            <w:tcW w:w="1150" w:type="pct"/>
            <w:tcBorders>
              <w:top w:val="nil"/>
              <w:left w:val="nil"/>
              <w:bottom w:val="nil"/>
              <w:right w:val="nil"/>
            </w:tcBorders>
          </w:tcPr>
          <w:p>
            <w:pPr>
              <w:jc w:val="center"/>
              <w:rPr>
                <w:rFonts w:ascii="Times New Roman" w:hAnsi="Times New Roman" w:eastAsia="仿宋" w:cs="Times New Roman"/>
                <w:sz w:val="15"/>
                <w:szCs w:val="15"/>
                <w:vertAlign w:val="superscript"/>
              </w:rPr>
            </w:pPr>
            <w:r>
              <w:rPr>
                <w:rFonts w:ascii="Times New Roman" w:hAnsi="Times New Roman" w:eastAsia="仿宋" w:cs="Times New Roman"/>
                <w:sz w:val="15"/>
                <w:szCs w:val="15"/>
              </w:rPr>
              <w:t>R</w:t>
            </w:r>
            <w:r>
              <w:rPr>
                <w:rFonts w:ascii="Times New Roman" w:hAnsi="Times New Roman" w:eastAsia="仿宋" w:cs="Times New Roman"/>
                <w:sz w:val="15"/>
                <w:szCs w:val="15"/>
                <w:vertAlign w:val="superscript"/>
              </w:rPr>
              <w:t>2</w:t>
            </w:r>
          </w:p>
        </w:tc>
        <w:tc>
          <w:tcPr>
            <w:tcW w:w="163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33,598</w:t>
            </w:r>
          </w:p>
        </w:tc>
        <w:tc>
          <w:tcPr>
            <w:tcW w:w="162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33,598</w:t>
            </w:r>
          </w:p>
        </w:tc>
        <w:tc>
          <w:tcPr>
            <w:tcW w:w="996" w:type="pct"/>
            <w:tcBorders>
              <w:top w:val="nil"/>
              <w:left w:val="nil"/>
              <w:bottom w:val="nil"/>
              <w:right w:val="nil"/>
            </w:tcBorders>
          </w:tcPr>
          <w:p>
            <w:pPr>
              <w:jc w:val="center"/>
              <w:rPr>
                <w:rFonts w:ascii="Times New Roman" w:hAnsi="Times New Roman" w:eastAsia="仿宋" w:cs="Times New Roman"/>
                <w:sz w:val="15"/>
                <w:szCs w:val="15"/>
              </w:rPr>
            </w:pPr>
          </w:p>
        </w:tc>
        <w:tc>
          <w:tcPr>
            <w:tcW w:w="944" w:type="pct"/>
            <w:tcBorders>
              <w:top w:val="nil"/>
              <w:left w:val="nil"/>
              <w:bottom w:val="nil"/>
              <w:right w:val="nil"/>
            </w:tcBorders>
          </w:tcPr>
          <w:p>
            <w:pPr>
              <w:jc w:val="center"/>
              <w:rPr>
                <w:rFonts w:ascii="Times New Roman" w:hAnsi="Times New Roman" w:eastAsia="仿宋" w:cs="Times New Roman"/>
                <w:sz w:val="15"/>
                <w:szCs w:val="15"/>
              </w:rPr>
            </w:pPr>
          </w:p>
        </w:tc>
      </w:tr>
      <w:tr>
        <w:tblPrEx>
          <w:tblCellMar>
            <w:top w:w="0" w:type="dxa"/>
            <w:left w:w="108" w:type="dxa"/>
            <w:bottom w:w="0" w:type="dxa"/>
            <w:right w:w="108" w:type="dxa"/>
          </w:tblCellMar>
        </w:tblPrEx>
        <w:trPr>
          <w:jc w:val="center"/>
        </w:trPr>
        <w:tc>
          <w:tcPr>
            <w:tcW w:w="1150"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N</w:t>
            </w:r>
          </w:p>
        </w:tc>
        <w:tc>
          <w:tcPr>
            <w:tcW w:w="1631"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0.663</w:t>
            </w:r>
          </w:p>
        </w:tc>
        <w:tc>
          <w:tcPr>
            <w:tcW w:w="1621"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0.663</w:t>
            </w:r>
          </w:p>
        </w:tc>
        <w:tc>
          <w:tcPr>
            <w:tcW w:w="1698"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27,426</w:t>
            </w:r>
          </w:p>
        </w:tc>
        <w:tc>
          <w:tcPr>
            <w:tcW w:w="1609"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30,564</w:t>
            </w:r>
          </w:p>
        </w:tc>
      </w:tr>
    </w:tbl>
    <w:p>
      <w:pPr>
        <w:ind w:firstLine="420"/>
        <w:rPr>
          <w:rFonts w:ascii="Times New Roman" w:hAnsi="Times New Roman" w:eastAsia="仿宋" w:cs="Times New Roman"/>
          <w:szCs w:val="21"/>
        </w:rPr>
      </w:pPr>
    </w:p>
    <w:p>
      <w:pPr>
        <w:rPr>
          <w:rFonts w:ascii="Times New Roman" w:hAnsi="Times New Roman" w:eastAsia="宋体" w:cs="Times New Roman"/>
          <w:sz w:val="15"/>
          <w:szCs w:val="15"/>
        </w:rPr>
      </w:pPr>
      <w:r>
        <w:rPr>
          <w:rFonts w:hint="eastAsia" w:ascii="Times New Roman" w:hAnsi="Times New Roman" w:eastAsia="宋体" w:cs="Times New Roman"/>
          <w:sz w:val="15"/>
          <w:szCs w:val="15"/>
        </w:rPr>
        <w:br w:type="page"/>
      </w:r>
    </w:p>
    <w:p>
      <w:pPr>
        <w:pStyle w:val="2"/>
        <w:spacing w:line="240" w:lineRule="auto"/>
        <w:jc w:val="center"/>
        <w:rPr>
          <w:rFonts w:ascii="楷体" w:hAnsi="楷体" w:eastAsia="楷体" w:cs="Times New Roman"/>
          <w:b w:val="0"/>
          <w:bCs w:val="0"/>
          <w:sz w:val="28"/>
          <w:szCs w:val="28"/>
        </w:rPr>
      </w:pPr>
      <w:bookmarkStart w:id="11" w:name="_Toc159314270"/>
      <w:r>
        <w:rPr>
          <w:rFonts w:hint="eastAsia" w:ascii="楷体" w:hAnsi="楷体" w:eastAsia="楷体"/>
          <w:b w:val="0"/>
          <w:bCs w:val="0"/>
          <w:sz w:val="28"/>
          <w:szCs w:val="28"/>
        </w:rPr>
        <w:t>附录Ⅴ 体制引力对国有企业和非国有企业的异质性作用</w:t>
      </w:r>
      <w:bookmarkEnd w:id="11"/>
    </w:p>
    <w:p>
      <w:pPr>
        <w:ind w:firstLine="420"/>
        <w:rPr>
          <w:rFonts w:ascii="Times New Roman" w:hAnsi="Times New Roman" w:eastAsia="仿宋" w:cs="Times New Roman"/>
          <w:szCs w:val="21"/>
        </w:rPr>
      </w:pPr>
      <w:r>
        <w:rPr>
          <w:rFonts w:ascii="Times New Roman" w:hAnsi="Times New Roman" w:eastAsia="仿宋" w:cs="Times New Roman"/>
          <w:szCs w:val="21"/>
        </w:rPr>
        <w:t>根据假说</w:t>
      </w:r>
      <w:r>
        <w:rPr>
          <w:rFonts w:hint="eastAsia" w:ascii="Times New Roman" w:hAnsi="Times New Roman" w:eastAsia="仿宋" w:cs="Times New Roman"/>
          <w:szCs w:val="21"/>
        </w:rPr>
        <w:t>2</w:t>
      </w:r>
      <w:r>
        <w:rPr>
          <w:rFonts w:ascii="Times New Roman" w:hAnsi="Times New Roman" w:eastAsia="仿宋" w:cs="Times New Roman"/>
          <w:szCs w:val="21"/>
        </w:rPr>
        <w:t>，由于国有-非国有企业创新激励</w:t>
      </w:r>
      <w:r>
        <w:rPr>
          <w:rFonts w:hint="eastAsia" w:ascii="Times New Roman" w:hAnsi="Times New Roman" w:eastAsia="仿宋" w:cs="Times New Roman"/>
          <w:szCs w:val="21"/>
        </w:rPr>
        <w:t>存在</w:t>
      </w:r>
      <w:r>
        <w:rPr>
          <w:rFonts w:ascii="Times New Roman" w:hAnsi="Times New Roman" w:eastAsia="仿宋" w:cs="Times New Roman"/>
          <w:szCs w:val="21"/>
        </w:rPr>
        <w:t>异质性，非国有企业全要素生产率对</w:t>
      </w:r>
      <w:r>
        <w:rPr>
          <w:rFonts w:hint="eastAsia" w:ascii="Times New Roman" w:hAnsi="Times New Roman" w:eastAsia="仿宋" w:cs="Times New Roman"/>
          <w:szCs w:val="21"/>
        </w:rPr>
        <w:t>显性</w:t>
      </w:r>
      <w:r>
        <w:rPr>
          <w:rFonts w:ascii="Times New Roman" w:hAnsi="Times New Roman" w:eastAsia="仿宋" w:cs="Times New Roman"/>
          <w:szCs w:val="21"/>
        </w:rPr>
        <w:t>体制引力的变化更为敏感。与此同时，显性体制引力对企业全要素生产率的抑制作用主要体现在2013年之前。因此，本文用2000-2013年的样本，</w:t>
      </w:r>
      <w:r>
        <w:rPr>
          <w:rFonts w:hint="eastAsia" w:ascii="Times New Roman" w:hAnsi="Times New Roman" w:eastAsia="仿宋" w:cs="Times New Roman"/>
          <w:szCs w:val="21"/>
        </w:rPr>
        <w:t>加入显性体制引力与衡量企业是否属于国有企业的虚拟变量的交互项</w:t>
      </w:r>
      <w:r>
        <w:rPr>
          <w:rFonts w:ascii="Times New Roman" w:hAnsi="Times New Roman" w:eastAsia="仿宋" w:cs="Times New Roman"/>
          <w:szCs w:val="21"/>
        </w:rPr>
        <w:t>，结果如表</w:t>
      </w:r>
      <w:r>
        <w:rPr>
          <w:rFonts w:hint="eastAsia" w:ascii="仿宋" w:hAnsi="仿宋" w:eastAsia="仿宋" w:cs="仿宋"/>
          <w:szCs w:val="21"/>
        </w:rPr>
        <w:t>Ⅴ1</w:t>
      </w:r>
      <w:r>
        <w:rPr>
          <w:rFonts w:ascii="Times New Roman" w:hAnsi="Times New Roman" w:eastAsia="仿宋" w:cs="Times New Roman"/>
          <w:szCs w:val="21"/>
        </w:rPr>
        <w:t>所示。</w:t>
      </w:r>
      <w:r>
        <w:rPr>
          <w:rFonts w:hint="eastAsia" w:ascii="Times New Roman" w:hAnsi="Times New Roman" w:eastAsia="仿宋" w:cs="Times New Roman"/>
          <w:szCs w:val="21"/>
        </w:rPr>
        <w:t>可以发现，交互项的系数显著为正，说明相较于国有企业，显性体制引力对非国有企业全要素生产率的抑制作用更强，</w:t>
      </w:r>
      <w:r>
        <w:rPr>
          <w:rFonts w:ascii="Times New Roman" w:hAnsi="Times New Roman" w:eastAsia="仿宋" w:cs="Times New Roman"/>
          <w:szCs w:val="21"/>
        </w:rPr>
        <w:t>这进一步证实了假说</w:t>
      </w:r>
      <w:r>
        <w:rPr>
          <w:rFonts w:hint="eastAsia" w:ascii="Times New Roman" w:hAnsi="Times New Roman" w:eastAsia="仿宋" w:cs="Times New Roman"/>
          <w:szCs w:val="21"/>
        </w:rPr>
        <w:t>2</w:t>
      </w:r>
      <w:r>
        <w:rPr>
          <w:rFonts w:ascii="Times New Roman" w:hAnsi="Times New Roman" w:eastAsia="仿宋" w:cs="Times New Roman"/>
          <w:szCs w:val="21"/>
        </w:rPr>
        <w:t>。</w:t>
      </w:r>
    </w:p>
    <w:p>
      <w:pPr>
        <w:ind w:firstLine="420"/>
        <w:rPr>
          <w:rFonts w:ascii="Times New Roman" w:hAnsi="Times New Roman" w:eastAsia="仿宋" w:cs="Times New Roman"/>
          <w:szCs w:val="21"/>
        </w:rPr>
      </w:pPr>
    </w:p>
    <w:p>
      <w:pPr>
        <w:jc w:val="center"/>
        <w:rPr>
          <w:rFonts w:ascii="黑体" w:hAnsi="黑体" w:eastAsia="黑体" w:cs="黑体"/>
          <w:sz w:val="18"/>
          <w:szCs w:val="18"/>
        </w:rPr>
      </w:pPr>
      <w:r>
        <w:rPr>
          <w:rFonts w:hint="eastAsia" w:ascii="黑体" w:hAnsi="黑体" w:eastAsia="黑体" w:cs="黑体"/>
          <w:sz w:val="18"/>
          <w:szCs w:val="18"/>
        </w:rPr>
        <w:t>表Ⅴ1 企业创新激励对体制引力的调节作用</w:t>
      </w:r>
    </w:p>
    <w:tbl>
      <w:tblPr>
        <w:tblStyle w:val="14"/>
        <w:tblW w:w="4998" w:type="pct"/>
        <w:jc w:val="center"/>
        <w:tblLayout w:type="autofit"/>
        <w:tblCellMar>
          <w:top w:w="0" w:type="dxa"/>
          <w:left w:w="108" w:type="dxa"/>
          <w:bottom w:w="0" w:type="dxa"/>
          <w:right w:w="108" w:type="dxa"/>
        </w:tblCellMar>
      </w:tblPr>
      <w:tblGrid>
        <w:gridCol w:w="2441"/>
        <w:gridCol w:w="2018"/>
        <w:gridCol w:w="2030"/>
        <w:gridCol w:w="2030"/>
      </w:tblGrid>
      <w:tr>
        <w:tblPrEx>
          <w:tblCellMar>
            <w:top w:w="0" w:type="dxa"/>
            <w:left w:w="108" w:type="dxa"/>
            <w:bottom w:w="0" w:type="dxa"/>
            <w:right w:w="108" w:type="dxa"/>
          </w:tblCellMar>
        </w:tblPrEx>
        <w:trPr>
          <w:jc w:val="center"/>
        </w:trPr>
        <w:tc>
          <w:tcPr>
            <w:tcW w:w="1432" w:type="pct"/>
            <w:tcBorders>
              <w:top w:val="single" w:color="auto" w:sz="4" w:space="0"/>
              <w:left w:val="nil"/>
              <w:bottom w:val="nil"/>
              <w:right w:val="nil"/>
            </w:tcBorders>
          </w:tcPr>
          <w:p>
            <w:pPr>
              <w:jc w:val="center"/>
              <w:rPr>
                <w:rFonts w:ascii="Times New Roman" w:hAnsi="Times New Roman" w:eastAsia="仿宋" w:cs="Times New Roman"/>
                <w:sz w:val="15"/>
                <w:szCs w:val="15"/>
              </w:rPr>
            </w:pPr>
          </w:p>
        </w:tc>
        <w:tc>
          <w:tcPr>
            <w:tcW w:w="1184"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w:t>
            </w:r>
          </w:p>
        </w:tc>
        <w:tc>
          <w:tcPr>
            <w:tcW w:w="1191"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（2）</w:t>
            </w:r>
          </w:p>
        </w:tc>
        <w:tc>
          <w:tcPr>
            <w:tcW w:w="1191"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r>
              <w:rPr>
                <w:rFonts w:hint="eastAsia" w:ascii="Times New Roman" w:hAnsi="Times New Roman" w:eastAsia="仿宋" w:cs="Times New Roman"/>
                <w:sz w:val="15"/>
                <w:szCs w:val="15"/>
              </w:rPr>
              <w:t>3</w:t>
            </w:r>
            <w:r>
              <w:rPr>
                <w:rFonts w:ascii="Times New Roman" w:hAnsi="Times New Roman" w:eastAsia="仿宋" w:cs="Times New Roman"/>
                <w:sz w:val="15"/>
                <w:szCs w:val="15"/>
              </w:rPr>
              <w:t>）</w:t>
            </w:r>
          </w:p>
        </w:tc>
      </w:tr>
      <w:tr>
        <w:tblPrEx>
          <w:tblCellMar>
            <w:top w:w="0" w:type="dxa"/>
            <w:left w:w="108" w:type="dxa"/>
            <w:bottom w:w="0" w:type="dxa"/>
            <w:right w:w="108" w:type="dxa"/>
          </w:tblCellMar>
        </w:tblPrEx>
        <w:trPr>
          <w:jc w:val="center"/>
        </w:trPr>
        <w:tc>
          <w:tcPr>
            <w:tcW w:w="1432" w:type="pct"/>
            <w:tcBorders>
              <w:top w:val="nil"/>
              <w:left w:val="nil"/>
              <w:bottom w:val="single" w:color="auto" w:sz="4" w:space="0"/>
              <w:right w:val="nil"/>
            </w:tcBorders>
          </w:tcPr>
          <w:p>
            <w:pPr>
              <w:jc w:val="center"/>
              <w:rPr>
                <w:rFonts w:ascii="Times New Roman" w:hAnsi="Times New Roman" w:eastAsia="仿宋" w:cs="Times New Roman"/>
                <w:sz w:val="15"/>
                <w:szCs w:val="15"/>
              </w:rPr>
            </w:pPr>
          </w:p>
        </w:tc>
        <w:tc>
          <w:tcPr>
            <w:tcW w:w="1184"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hint="eastAsia" w:ascii="Times New Roman" w:hAnsi="Times New Roman" w:eastAsia="仿宋" w:cs="Times New Roman"/>
                <w:sz w:val="15"/>
                <w:szCs w:val="15"/>
              </w:rPr>
              <w:t>op</w:t>
            </w:r>
          </w:p>
        </w:tc>
        <w:tc>
          <w:tcPr>
            <w:tcW w:w="1191"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hint="eastAsia" w:ascii="Times New Roman" w:hAnsi="Times New Roman" w:eastAsia="仿宋" w:cs="Times New Roman"/>
                <w:sz w:val="15"/>
                <w:szCs w:val="15"/>
              </w:rPr>
              <w:t>acf</w:t>
            </w:r>
          </w:p>
        </w:tc>
        <w:tc>
          <w:tcPr>
            <w:tcW w:w="1191"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hint="eastAsia" w:ascii="Times New Roman" w:hAnsi="Times New Roman" w:eastAsia="仿宋" w:cs="Times New Roman"/>
                <w:sz w:val="15"/>
                <w:szCs w:val="15"/>
              </w:rPr>
              <w:t>lp</w:t>
            </w:r>
          </w:p>
        </w:tc>
      </w:tr>
      <w:tr>
        <w:tblPrEx>
          <w:tblCellMar>
            <w:top w:w="0" w:type="dxa"/>
            <w:left w:w="108" w:type="dxa"/>
            <w:bottom w:w="0" w:type="dxa"/>
            <w:right w:w="108" w:type="dxa"/>
          </w:tblCellMar>
        </w:tblPrEx>
        <w:trPr>
          <w:jc w:val="center"/>
        </w:trPr>
        <w:tc>
          <w:tcPr>
            <w:tcW w:w="1432" w:type="pct"/>
            <w:tcBorders>
              <w:top w:val="single" w:color="auto" w:sz="4" w:space="0"/>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gravity</w:t>
            </w:r>
          </w:p>
        </w:tc>
        <w:tc>
          <w:tcPr>
            <w:tcW w:w="1184"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-0.194***</w:t>
            </w:r>
          </w:p>
        </w:tc>
        <w:tc>
          <w:tcPr>
            <w:tcW w:w="1191"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-0.190***</w:t>
            </w:r>
          </w:p>
        </w:tc>
        <w:tc>
          <w:tcPr>
            <w:tcW w:w="1191"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-0.194***</w:t>
            </w:r>
          </w:p>
        </w:tc>
      </w:tr>
      <w:tr>
        <w:tblPrEx>
          <w:tblCellMar>
            <w:top w:w="0" w:type="dxa"/>
            <w:left w:w="108" w:type="dxa"/>
            <w:bottom w:w="0" w:type="dxa"/>
            <w:right w:w="108" w:type="dxa"/>
          </w:tblCellMar>
        </w:tblPrEx>
        <w:trPr>
          <w:jc w:val="center"/>
        </w:trPr>
        <w:tc>
          <w:tcPr>
            <w:tcW w:w="1432" w:type="pct"/>
            <w:tcBorders>
              <w:top w:val="nil"/>
              <w:left w:val="nil"/>
              <w:bottom w:val="nil"/>
              <w:right w:val="nil"/>
            </w:tcBorders>
          </w:tcPr>
          <w:p>
            <w:pPr>
              <w:jc w:val="center"/>
              <w:rPr>
                <w:rFonts w:ascii="Times New Roman" w:hAnsi="Times New Roman" w:eastAsia="仿宋" w:cs="Times New Roman"/>
                <w:i/>
                <w:iCs/>
                <w:sz w:val="15"/>
                <w:szCs w:val="15"/>
              </w:rPr>
            </w:pPr>
          </w:p>
        </w:tc>
        <w:tc>
          <w:tcPr>
            <w:tcW w:w="118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(0.044)</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(0.045)</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(0.044)</w:t>
            </w:r>
          </w:p>
        </w:tc>
      </w:tr>
      <w:tr>
        <w:tblPrEx>
          <w:tblCellMar>
            <w:top w:w="0" w:type="dxa"/>
            <w:left w:w="108" w:type="dxa"/>
            <w:bottom w:w="0" w:type="dxa"/>
            <w:right w:w="108" w:type="dxa"/>
          </w:tblCellMar>
        </w:tblPrEx>
        <w:trPr>
          <w:jc w:val="center"/>
        </w:trPr>
        <w:tc>
          <w:tcPr>
            <w:tcW w:w="1432" w:type="pct"/>
            <w:tcBorders>
              <w:top w:val="nil"/>
              <w:left w:val="nil"/>
              <w:bottom w:val="nil"/>
              <w:right w:val="nil"/>
            </w:tcBorders>
          </w:tcPr>
          <w:p>
            <w:pPr>
              <w:jc w:val="center"/>
              <w:rPr>
                <w:rFonts w:ascii="Times New Roman" w:hAnsi="Times New Roman" w:eastAsia="仿宋" w:cs="Times New Roman"/>
                <w:i/>
                <w:iCs/>
                <w:sz w:val="15"/>
                <w:szCs w:val="15"/>
              </w:rPr>
            </w:pPr>
            <w:r>
              <w:rPr>
                <w:rFonts w:hint="eastAsia" w:ascii="Times New Roman" w:hAnsi="Times New Roman" w:eastAsia="仿宋" w:cs="Times New Roman"/>
                <w:i/>
                <w:iCs/>
                <w:sz w:val="15"/>
                <w:szCs w:val="15"/>
              </w:rPr>
              <w:t>soe</w:t>
            </w:r>
          </w:p>
        </w:tc>
        <w:tc>
          <w:tcPr>
            <w:tcW w:w="118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-0.209***</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-0.187**</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-0.211***</w:t>
            </w:r>
          </w:p>
        </w:tc>
      </w:tr>
      <w:tr>
        <w:tblPrEx>
          <w:tblCellMar>
            <w:top w:w="0" w:type="dxa"/>
            <w:left w:w="108" w:type="dxa"/>
            <w:bottom w:w="0" w:type="dxa"/>
            <w:right w:w="108" w:type="dxa"/>
          </w:tblCellMar>
        </w:tblPrEx>
        <w:trPr>
          <w:jc w:val="center"/>
        </w:trPr>
        <w:tc>
          <w:tcPr>
            <w:tcW w:w="1432" w:type="pct"/>
            <w:tcBorders>
              <w:top w:val="nil"/>
              <w:left w:val="nil"/>
              <w:bottom w:val="nil"/>
              <w:right w:val="nil"/>
            </w:tcBorders>
          </w:tcPr>
          <w:p>
            <w:pPr>
              <w:jc w:val="center"/>
              <w:rPr>
                <w:rFonts w:ascii="Times New Roman" w:hAnsi="Times New Roman" w:eastAsia="仿宋" w:cs="Times New Roman"/>
                <w:i/>
                <w:iCs/>
                <w:sz w:val="15"/>
                <w:szCs w:val="15"/>
              </w:rPr>
            </w:pPr>
          </w:p>
        </w:tc>
        <w:tc>
          <w:tcPr>
            <w:tcW w:w="118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(0.072)</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(0.072)</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(0.072)</w:t>
            </w:r>
          </w:p>
        </w:tc>
      </w:tr>
      <w:tr>
        <w:tblPrEx>
          <w:tblCellMar>
            <w:top w:w="0" w:type="dxa"/>
            <w:left w:w="108" w:type="dxa"/>
            <w:bottom w:w="0" w:type="dxa"/>
            <w:right w:w="108" w:type="dxa"/>
          </w:tblCellMar>
        </w:tblPrEx>
        <w:trPr>
          <w:jc w:val="center"/>
        </w:trPr>
        <w:tc>
          <w:tcPr>
            <w:tcW w:w="1432" w:type="pct"/>
            <w:tcBorders>
              <w:top w:val="nil"/>
              <w:left w:val="nil"/>
              <w:bottom w:val="nil"/>
              <w:right w:val="nil"/>
            </w:tcBorders>
          </w:tcPr>
          <w:p>
            <w:pPr>
              <w:jc w:val="center"/>
              <w:rPr>
                <w:rFonts w:ascii="Times New Roman" w:hAnsi="Times New Roman" w:eastAsia="仿宋" w:cs="Times New Roman"/>
                <w:i/>
                <w:iCs/>
                <w:sz w:val="15"/>
                <w:szCs w:val="15"/>
              </w:rPr>
            </w:pPr>
            <w:r>
              <w:rPr>
                <w:rFonts w:hint="eastAsia" w:ascii="Times New Roman" w:hAnsi="Times New Roman" w:eastAsia="仿宋" w:cs="Times New Roman"/>
                <w:i/>
                <w:iCs/>
                <w:sz w:val="15"/>
                <w:szCs w:val="15"/>
              </w:rPr>
              <w:t>gravity*soe</w:t>
            </w:r>
          </w:p>
        </w:tc>
        <w:tc>
          <w:tcPr>
            <w:tcW w:w="118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0.113**</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0.114**</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0.113**</w:t>
            </w:r>
          </w:p>
        </w:tc>
      </w:tr>
      <w:tr>
        <w:tblPrEx>
          <w:tblCellMar>
            <w:top w:w="0" w:type="dxa"/>
            <w:left w:w="108" w:type="dxa"/>
            <w:bottom w:w="0" w:type="dxa"/>
            <w:right w:w="108" w:type="dxa"/>
          </w:tblCellMar>
        </w:tblPrEx>
        <w:trPr>
          <w:jc w:val="center"/>
        </w:trPr>
        <w:tc>
          <w:tcPr>
            <w:tcW w:w="1432" w:type="pct"/>
            <w:tcBorders>
              <w:top w:val="nil"/>
              <w:left w:val="nil"/>
              <w:bottom w:val="nil"/>
              <w:right w:val="nil"/>
            </w:tcBorders>
          </w:tcPr>
          <w:p>
            <w:pPr>
              <w:jc w:val="center"/>
              <w:rPr>
                <w:rFonts w:ascii="Times New Roman" w:hAnsi="Times New Roman" w:eastAsia="仿宋" w:cs="Times New Roman"/>
                <w:i/>
                <w:iCs/>
                <w:sz w:val="15"/>
                <w:szCs w:val="15"/>
              </w:rPr>
            </w:pPr>
          </w:p>
        </w:tc>
        <w:tc>
          <w:tcPr>
            <w:tcW w:w="118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(0.045)</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(0.045)</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(0.045)</w:t>
            </w:r>
          </w:p>
        </w:tc>
      </w:tr>
      <w:tr>
        <w:tblPrEx>
          <w:tblCellMar>
            <w:top w:w="0" w:type="dxa"/>
            <w:left w:w="108" w:type="dxa"/>
            <w:bottom w:w="0" w:type="dxa"/>
            <w:right w:w="108" w:type="dxa"/>
          </w:tblCellMar>
        </w:tblPrEx>
        <w:trPr>
          <w:jc w:val="center"/>
        </w:trPr>
        <w:tc>
          <w:tcPr>
            <w:tcW w:w="143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age</w:t>
            </w:r>
          </w:p>
        </w:tc>
        <w:tc>
          <w:tcPr>
            <w:tcW w:w="118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-0.186***</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-0.053</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-0.197***</w:t>
            </w:r>
          </w:p>
        </w:tc>
      </w:tr>
      <w:tr>
        <w:tblPrEx>
          <w:tblCellMar>
            <w:top w:w="0" w:type="dxa"/>
            <w:left w:w="108" w:type="dxa"/>
            <w:bottom w:w="0" w:type="dxa"/>
            <w:right w:w="108" w:type="dxa"/>
          </w:tblCellMar>
        </w:tblPrEx>
        <w:trPr>
          <w:jc w:val="center"/>
        </w:trPr>
        <w:tc>
          <w:tcPr>
            <w:tcW w:w="1432" w:type="pct"/>
            <w:tcBorders>
              <w:top w:val="nil"/>
              <w:left w:val="nil"/>
              <w:bottom w:val="nil"/>
              <w:right w:val="nil"/>
            </w:tcBorders>
          </w:tcPr>
          <w:p>
            <w:pPr>
              <w:jc w:val="center"/>
              <w:rPr>
                <w:rFonts w:ascii="Times New Roman" w:hAnsi="Times New Roman" w:eastAsia="仿宋" w:cs="Times New Roman"/>
                <w:i/>
                <w:iCs/>
                <w:sz w:val="15"/>
                <w:szCs w:val="15"/>
              </w:rPr>
            </w:pPr>
          </w:p>
        </w:tc>
        <w:tc>
          <w:tcPr>
            <w:tcW w:w="118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(0.041)</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(0.042)</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(0.041)</w:t>
            </w:r>
          </w:p>
        </w:tc>
      </w:tr>
      <w:tr>
        <w:tblPrEx>
          <w:tblCellMar>
            <w:top w:w="0" w:type="dxa"/>
            <w:left w:w="108" w:type="dxa"/>
            <w:bottom w:w="0" w:type="dxa"/>
            <w:right w:w="108" w:type="dxa"/>
          </w:tblCellMar>
        </w:tblPrEx>
        <w:trPr>
          <w:jc w:val="center"/>
        </w:trPr>
        <w:tc>
          <w:tcPr>
            <w:tcW w:w="143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size</w:t>
            </w:r>
          </w:p>
        </w:tc>
        <w:tc>
          <w:tcPr>
            <w:tcW w:w="118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0.262***</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0.176***</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-0.286***</w:t>
            </w:r>
          </w:p>
        </w:tc>
      </w:tr>
      <w:tr>
        <w:tblPrEx>
          <w:tblCellMar>
            <w:top w:w="0" w:type="dxa"/>
            <w:left w:w="108" w:type="dxa"/>
            <w:bottom w:w="0" w:type="dxa"/>
            <w:right w:w="108" w:type="dxa"/>
          </w:tblCellMar>
        </w:tblPrEx>
        <w:trPr>
          <w:jc w:val="center"/>
        </w:trPr>
        <w:tc>
          <w:tcPr>
            <w:tcW w:w="1432" w:type="pct"/>
            <w:tcBorders>
              <w:top w:val="nil"/>
              <w:left w:val="nil"/>
              <w:bottom w:val="nil"/>
              <w:right w:val="nil"/>
            </w:tcBorders>
          </w:tcPr>
          <w:p>
            <w:pPr>
              <w:jc w:val="center"/>
              <w:rPr>
                <w:rFonts w:ascii="Times New Roman" w:hAnsi="Times New Roman" w:eastAsia="仿宋" w:cs="Times New Roman"/>
                <w:i/>
                <w:iCs/>
                <w:sz w:val="15"/>
                <w:szCs w:val="15"/>
              </w:rPr>
            </w:pPr>
          </w:p>
        </w:tc>
        <w:tc>
          <w:tcPr>
            <w:tcW w:w="118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(0.011)</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(0.011)</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(0.011)</w:t>
            </w:r>
          </w:p>
        </w:tc>
      </w:tr>
      <w:tr>
        <w:tblPrEx>
          <w:tblCellMar>
            <w:top w:w="0" w:type="dxa"/>
            <w:left w:w="108" w:type="dxa"/>
            <w:bottom w:w="0" w:type="dxa"/>
            <w:right w:w="108" w:type="dxa"/>
          </w:tblCellMar>
        </w:tblPrEx>
        <w:trPr>
          <w:jc w:val="center"/>
        </w:trPr>
        <w:tc>
          <w:tcPr>
            <w:tcW w:w="1432" w:type="pct"/>
            <w:tcBorders>
              <w:top w:val="nil"/>
              <w:left w:val="nil"/>
              <w:bottom w:val="nil"/>
              <w:right w:val="nil"/>
            </w:tcBorders>
          </w:tcPr>
          <w:p>
            <w:pPr>
              <w:jc w:val="center"/>
              <w:rPr>
                <w:rFonts w:ascii="Times New Roman" w:hAnsi="Times New Roman" w:eastAsia="仿宋" w:cs="Times New Roman"/>
                <w:i/>
                <w:iCs/>
                <w:sz w:val="15"/>
                <w:szCs w:val="15"/>
              </w:rPr>
            </w:pPr>
            <w:r>
              <w:rPr>
                <w:rFonts w:hint="eastAsia" w:ascii="Times New Roman" w:hAnsi="Times New Roman" w:eastAsia="仿宋" w:cs="Times New Roman"/>
                <w:i/>
                <w:iCs/>
                <w:sz w:val="15"/>
                <w:szCs w:val="15"/>
              </w:rPr>
              <w:t>klr</w:t>
            </w:r>
          </w:p>
        </w:tc>
        <w:tc>
          <w:tcPr>
            <w:tcW w:w="118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0.663***</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1.346***</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0.605***</w:t>
            </w:r>
          </w:p>
        </w:tc>
      </w:tr>
      <w:tr>
        <w:tblPrEx>
          <w:tblCellMar>
            <w:top w:w="0" w:type="dxa"/>
            <w:left w:w="108" w:type="dxa"/>
            <w:bottom w:w="0" w:type="dxa"/>
            <w:right w:w="108" w:type="dxa"/>
          </w:tblCellMar>
        </w:tblPrEx>
        <w:trPr>
          <w:jc w:val="center"/>
        </w:trPr>
        <w:tc>
          <w:tcPr>
            <w:tcW w:w="1432" w:type="pct"/>
            <w:tcBorders>
              <w:top w:val="nil"/>
              <w:left w:val="nil"/>
              <w:bottom w:val="nil"/>
              <w:right w:val="nil"/>
            </w:tcBorders>
          </w:tcPr>
          <w:p>
            <w:pPr>
              <w:jc w:val="center"/>
              <w:rPr>
                <w:rFonts w:ascii="Times New Roman" w:hAnsi="Times New Roman" w:eastAsia="仿宋" w:cs="Times New Roman"/>
                <w:i/>
                <w:iCs/>
                <w:sz w:val="15"/>
                <w:szCs w:val="15"/>
              </w:rPr>
            </w:pPr>
          </w:p>
        </w:tc>
        <w:tc>
          <w:tcPr>
            <w:tcW w:w="118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(0.142)</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(0.143)</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(0.142)</w:t>
            </w:r>
          </w:p>
        </w:tc>
      </w:tr>
      <w:tr>
        <w:tblPrEx>
          <w:tblCellMar>
            <w:top w:w="0" w:type="dxa"/>
            <w:left w:w="108" w:type="dxa"/>
            <w:bottom w:w="0" w:type="dxa"/>
            <w:right w:w="108" w:type="dxa"/>
          </w:tblCellMar>
        </w:tblPrEx>
        <w:trPr>
          <w:jc w:val="center"/>
        </w:trPr>
        <w:tc>
          <w:tcPr>
            <w:tcW w:w="143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kern w:val="0"/>
                <w:sz w:val="15"/>
                <w:szCs w:val="15"/>
              </w:rPr>
              <w:t>per_industry2</w:t>
            </w:r>
          </w:p>
        </w:tc>
        <w:tc>
          <w:tcPr>
            <w:tcW w:w="118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0.006*</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0.004</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0.006*</w:t>
            </w:r>
          </w:p>
        </w:tc>
      </w:tr>
      <w:tr>
        <w:tblPrEx>
          <w:tblCellMar>
            <w:top w:w="0" w:type="dxa"/>
            <w:left w:w="108" w:type="dxa"/>
            <w:bottom w:w="0" w:type="dxa"/>
            <w:right w:w="108" w:type="dxa"/>
          </w:tblCellMar>
        </w:tblPrEx>
        <w:trPr>
          <w:jc w:val="center"/>
        </w:trPr>
        <w:tc>
          <w:tcPr>
            <w:tcW w:w="1432" w:type="pct"/>
            <w:tcBorders>
              <w:top w:val="nil"/>
              <w:left w:val="nil"/>
              <w:bottom w:val="nil"/>
              <w:right w:val="nil"/>
            </w:tcBorders>
          </w:tcPr>
          <w:p>
            <w:pPr>
              <w:jc w:val="center"/>
              <w:rPr>
                <w:rFonts w:ascii="Times New Roman" w:hAnsi="Times New Roman" w:eastAsia="仿宋" w:cs="Times New Roman"/>
                <w:i/>
                <w:iCs/>
                <w:sz w:val="15"/>
                <w:szCs w:val="15"/>
              </w:rPr>
            </w:pPr>
          </w:p>
        </w:tc>
        <w:tc>
          <w:tcPr>
            <w:tcW w:w="118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(0.003)</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(0.003)</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(0.003)</w:t>
            </w:r>
          </w:p>
        </w:tc>
      </w:tr>
      <w:tr>
        <w:tblPrEx>
          <w:tblCellMar>
            <w:top w:w="0" w:type="dxa"/>
            <w:left w:w="108" w:type="dxa"/>
            <w:bottom w:w="0" w:type="dxa"/>
            <w:right w:w="108" w:type="dxa"/>
          </w:tblCellMar>
        </w:tblPrEx>
        <w:trPr>
          <w:jc w:val="center"/>
        </w:trPr>
        <w:tc>
          <w:tcPr>
            <w:tcW w:w="143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kern w:val="0"/>
                <w:sz w:val="15"/>
                <w:szCs w:val="15"/>
              </w:rPr>
              <w:t>Fix_inves</w:t>
            </w:r>
            <w:r>
              <w:rPr>
                <w:rFonts w:ascii="Times New Roman" w:hAnsi="Times New Roman" w:eastAsia="仿宋" w:cs="Times New Roman"/>
                <w:sz w:val="15"/>
                <w:szCs w:val="15"/>
              </w:rPr>
              <w:t>t</w:t>
            </w:r>
          </w:p>
        </w:tc>
        <w:tc>
          <w:tcPr>
            <w:tcW w:w="118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-0.050</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0.008</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-0.055</w:t>
            </w:r>
          </w:p>
        </w:tc>
      </w:tr>
      <w:tr>
        <w:tblPrEx>
          <w:tblCellMar>
            <w:top w:w="0" w:type="dxa"/>
            <w:left w:w="108" w:type="dxa"/>
            <w:bottom w:w="0" w:type="dxa"/>
            <w:right w:w="108" w:type="dxa"/>
          </w:tblCellMar>
        </w:tblPrEx>
        <w:trPr>
          <w:jc w:val="center"/>
        </w:trPr>
        <w:tc>
          <w:tcPr>
            <w:tcW w:w="1432" w:type="pct"/>
            <w:tcBorders>
              <w:top w:val="nil"/>
              <w:left w:val="nil"/>
              <w:bottom w:val="nil"/>
              <w:right w:val="nil"/>
            </w:tcBorders>
          </w:tcPr>
          <w:p>
            <w:pPr>
              <w:jc w:val="center"/>
              <w:rPr>
                <w:rFonts w:ascii="Times New Roman" w:hAnsi="Times New Roman" w:eastAsia="仿宋" w:cs="Times New Roman"/>
                <w:i/>
                <w:iCs/>
                <w:sz w:val="15"/>
                <w:szCs w:val="15"/>
              </w:rPr>
            </w:pPr>
          </w:p>
        </w:tc>
        <w:tc>
          <w:tcPr>
            <w:tcW w:w="118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(0.046)</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(0.046)</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(0.046)</w:t>
            </w:r>
          </w:p>
        </w:tc>
      </w:tr>
      <w:tr>
        <w:tblPrEx>
          <w:tblCellMar>
            <w:top w:w="0" w:type="dxa"/>
            <w:left w:w="108" w:type="dxa"/>
            <w:bottom w:w="0" w:type="dxa"/>
            <w:right w:w="108" w:type="dxa"/>
          </w:tblCellMar>
        </w:tblPrEx>
        <w:trPr>
          <w:jc w:val="center"/>
        </w:trPr>
        <w:tc>
          <w:tcPr>
            <w:tcW w:w="1432" w:type="pct"/>
            <w:tcBorders>
              <w:top w:val="nil"/>
              <w:left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cons</w:t>
            </w:r>
          </w:p>
        </w:tc>
        <w:tc>
          <w:tcPr>
            <w:tcW w:w="118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10.192***</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12.473***</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10.000***</w:t>
            </w:r>
          </w:p>
        </w:tc>
      </w:tr>
      <w:tr>
        <w:tblPrEx>
          <w:tblCellMar>
            <w:top w:w="0" w:type="dxa"/>
            <w:left w:w="108" w:type="dxa"/>
            <w:bottom w:w="0" w:type="dxa"/>
            <w:right w:w="108" w:type="dxa"/>
          </w:tblCellMar>
        </w:tblPrEx>
        <w:trPr>
          <w:jc w:val="center"/>
        </w:trPr>
        <w:tc>
          <w:tcPr>
            <w:tcW w:w="1432" w:type="pct"/>
            <w:tcBorders>
              <w:top w:val="nil"/>
              <w:left w:val="nil"/>
              <w:bottom w:val="nil"/>
              <w:right w:val="nil"/>
            </w:tcBorders>
          </w:tcPr>
          <w:p>
            <w:pPr>
              <w:jc w:val="center"/>
              <w:rPr>
                <w:rFonts w:ascii="Times New Roman" w:hAnsi="Times New Roman" w:eastAsia="仿宋" w:cs="Times New Roman"/>
                <w:i/>
                <w:iCs/>
                <w:sz w:val="15"/>
                <w:szCs w:val="15"/>
              </w:rPr>
            </w:pPr>
          </w:p>
        </w:tc>
        <w:tc>
          <w:tcPr>
            <w:tcW w:w="118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(0.345)</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(0.348)</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(0.345)</w:t>
            </w:r>
          </w:p>
        </w:tc>
      </w:tr>
      <w:tr>
        <w:tblPrEx>
          <w:tblCellMar>
            <w:top w:w="0" w:type="dxa"/>
            <w:left w:w="108" w:type="dxa"/>
            <w:bottom w:w="0" w:type="dxa"/>
            <w:right w:w="108" w:type="dxa"/>
          </w:tblCellMar>
        </w:tblPrEx>
        <w:trPr>
          <w:jc w:val="center"/>
        </w:trPr>
        <w:tc>
          <w:tcPr>
            <w:tcW w:w="1432"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企业固定效应</w:t>
            </w:r>
          </w:p>
        </w:tc>
        <w:tc>
          <w:tcPr>
            <w:tcW w:w="118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203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r>
      <w:tr>
        <w:tblPrEx>
          <w:tblCellMar>
            <w:top w:w="0" w:type="dxa"/>
            <w:left w:w="108" w:type="dxa"/>
            <w:bottom w:w="0" w:type="dxa"/>
            <w:right w:w="108" w:type="dxa"/>
          </w:tblCellMar>
        </w:tblPrEx>
        <w:trPr>
          <w:jc w:val="center"/>
        </w:trPr>
        <w:tc>
          <w:tcPr>
            <w:tcW w:w="1432"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年份固定效应</w:t>
            </w:r>
          </w:p>
        </w:tc>
        <w:tc>
          <w:tcPr>
            <w:tcW w:w="1184"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191"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203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r>
      <w:tr>
        <w:tblPrEx>
          <w:tblCellMar>
            <w:top w:w="0" w:type="dxa"/>
            <w:left w:w="108" w:type="dxa"/>
            <w:bottom w:w="0" w:type="dxa"/>
            <w:right w:w="108" w:type="dxa"/>
          </w:tblCellMar>
        </w:tblPrEx>
        <w:trPr>
          <w:jc w:val="center"/>
        </w:trPr>
        <w:tc>
          <w:tcPr>
            <w:tcW w:w="1432" w:type="pct"/>
            <w:tcBorders>
              <w:top w:val="nil"/>
              <w:left w:val="nil"/>
              <w:bottom w:val="nil"/>
              <w:right w:val="nil"/>
            </w:tcBorders>
          </w:tcPr>
          <w:p>
            <w:pPr>
              <w:jc w:val="center"/>
              <w:rPr>
                <w:rFonts w:ascii="Times New Roman" w:hAnsi="Times New Roman" w:eastAsia="仿宋" w:cs="Times New Roman"/>
                <w:sz w:val="15"/>
                <w:szCs w:val="15"/>
                <w:vertAlign w:val="superscript"/>
              </w:rPr>
            </w:pPr>
            <w:r>
              <w:rPr>
                <w:rFonts w:ascii="Times New Roman" w:hAnsi="Times New Roman" w:eastAsia="仿宋" w:cs="Times New Roman"/>
                <w:sz w:val="15"/>
                <w:szCs w:val="15"/>
              </w:rPr>
              <w:t>R</w:t>
            </w:r>
            <w:r>
              <w:rPr>
                <w:rFonts w:ascii="Times New Roman" w:hAnsi="Times New Roman" w:eastAsia="仿宋" w:cs="Times New Roman"/>
                <w:sz w:val="15"/>
                <w:szCs w:val="15"/>
                <w:vertAlign w:val="superscript"/>
              </w:rPr>
              <w:t>2</w:t>
            </w:r>
          </w:p>
        </w:tc>
        <w:tc>
          <w:tcPr>
            <w:tcW w:w="2018"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0.578</w:t>
            </w:r>
          </w:p>
        </w:tc>
        <w:tc>
          <w:tcPr>
            <w:tcW w:w="203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0.574</w:t>
            </w:r>
          </w:p>
        </w:tc>
        <w:tc>
          <w:tcPr>
            <w:tcW w:w="2030"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0.543</w:t>
            </w:r>
          </w:p>
        </w:tc>
      </w:tr>
      <w:tr>
        <w:tblPrEx>
          <w:tblCellMar>
            <w:top w:w="0" w:type="dxa"/>
            <w:left w:w="108" w:type="dxa"/>
            <w:bottom w:w="0" w:type="dxa"/>
            <w:right w:w="108" w:type="dxa"/>
          </w:tblCellMar>
        </w:tblPrEx>
        <w:trPr>
          <w:jc w:val="center"/>
        </w:trPr>
        <w:tc>
          <w:tcPr>
            <w:tcW w:w="1432" w:type="pct"/>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N</w:t>
            </w:r>
          </w:p>
        </w:tc>
        <w:tc>
          <w:tcPr>
            <w:tcW w:w="2018"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22,034</w:t>
            </w:r>
          </w:p>
        </w:tc>
        <w:tc>
          <w:tcPr>
            <w:tcW w:w="2030"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22,034</w:t>
            </w:r>
          </w:p>
        </w:tc>
        <w:tc>
          <w:tcPr>
            <w:tcW w:w="2030" w:type="dxa"/>
            <w:tcBorders>
              <w:top w:val="nil"/>
              <w:left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22,034</w:t>
            </w:r>
          </w:p>
        </w:tc>
      </w:tr>
    </w:tbl>
    <w:p>
      <w:pPr>
        <w:rPr>
          <w:rFonts w:ascii="Times New Roman" w:hAnsi="Times New Roman" w:eastAsia="宋体" w:cs="Times New Roman"/>
          <w:sz w:val="15"/>
          <w:szCs w:val="15"/>
        </w:rPr>
      </w:pPr>
      <w:r>
        <w:rPr>
          <w:rFonts w:hint="eastAsia" w:ascii="Times New Roman" w:hAnsi="Times New Roman" w:eastAsia="宋体" w:cs="Times New Roman"/>
          <w:sz w:val="15"/>
          <w:szCs w:val="15"/>
        </w:rPr>
        <w:br w:type="page"/>
      </w:r>
    </w:p>
    <w:p>
      <w:pPr>
        <w:pStyle w:val="2"/>
        <w:spacing w:line="240" w:lineRule="auto"/>
        <w:jc w:val="center"/>
        <w:rPr>
          <w:rFonts w:ascii="楷体" w:hAnsi="楷体" w:eastAsia="楷体" w:cs="Times New Roman"/>
          <w:b w:val="0"/>
          <w:bCs w:val="0"/>
          <w:sz w:val="28"/>
          <w:szCs w:val="28"/>
        </w:rPr>
      </w:pPr>
      <w:bookmarkStart w:id="12" w:name="_Toc159314271"/>
      <w:r>
        <w:rPr>
          <w:rFonts w:hint="eastAsia" w:ascii="楷体" w:hAnsi="楷体" w:eastAsia="楷体"/>
          <w:b w:val="0"/>
          <w:bCs w:val="0"/>
          <w:sz w:val="28"/>
          <w:szCs w:val="28"/>
        </w:rPr>
        <w:t>附录Ⅵ “限薪令”DID规范的识别假设检验</w:t>
      </w:r>
      <w:bookmarkEnd w:id="12"/>
    </w:p>
    <w:p>
      <w:pPr>
        <w:ind w:left="420"/>
        <w:rPr>
          <w:rFonts w:ascii="Times New Roman" w:hAnsi="Times New Roman" w:eastAsia="仿宋" w:cs="Times New Roman"/>
          <w:b/>
          <w:bCs/>
          <w:szCs w:val="21"/>
        </w:rPr>
      </w:pPr>
      <w:r>
        <w:rPr>
          <w:rFonts w:hint="eastAsia" w:ascii="Times New Roman" w:hAnsi="Times New Roman" w:eastAsia="仿宋" w:cs="Times New Roman"/>
          <w:b/>
          <w:bCs/>
          <w:szCs w:val="21"/>
        </w:rPr>
        <w:t>1.</w:t>
      </w:r>
      <w:r>
        <w:rPr>
          <w:rFonts w:ascii="Times New Roman" w:hAnsi="Times New Roman" w:eastAsia="仿宋" w:cs="Times New Roman"/>
          <w:b/>
          <w:bCs/>
          <w:szCs w:val="21"/>
        </w:rPr>
        <w:t>平行趋势假设与动态效应</w:t>
      </w:r>
    </w:p>
    <w:p>
      <w:pPr>
        <w:ind w:firstLine="420"/>
        <w:rPr>
          <w:rFonts w:ascii="Times New Roman" w:hAnsi="Times New Roman" w:eastAsia="仿宋" w:cs="Times New Roman"/>
          <w:szCs w:val="21"/>
        </w:rPr>
      </w:pPr>
      <w:r>
        <w:rPr>
          <w:rFonts w:ascii="Times New Roman" w:hAnsi="Times New Roman" w:eastAsia="仿宋" w:cs="Times New Roman"/>
          <w:szCs w:val="21"/>
          <w:highlight w:val="none"/>
        </w:rPr>
        <w:t>模型</w:t>
      </w:r>
      <w:r>
        <w:rPr>
          <w:rFonts w:hint="eastAsia"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19</w:t>
      </w:r>
      <w:r>
        <w:rPr>
          <w:rFonts w:hint="eastAsia" w:ascii="Times New Roman" w:hAnsi="Times New Roman" w:eastAsia="仿宋" w:cs="Times New Roman"/>
          <w:szCs w:val="21"/>
          <w:highlight w:val="none"/>
          <w:lang w:eastAsia="zh-CN"/>
        </w:rPr>
        <w:t>）</w:t>
      </w:r>
      <w:r>
        <w:rPr>
          <w:rFonts w:ascii="Times New Roman" w:hAnsi="Times New Roman" w:eastAsia="仿宋" w:cs="Times New Roman"/>
          <w:szCs w:val="21"/>
        </w:rPr>
        <w:t>识别</w:t>
      </w:r>
      <w:r>
        <w:rPr>
          <w:rFonts w:hint="eastAsia" w:ascii="Times New Roman" w:hAnsi="Times New Roman" w:eastAsia="仿宋" w:cs="Times New Roman"/>
          <w:szCs w:val="21"/>
        </w:rPr>
        <w:t>显性</w:t>
      </w:r>
      <w:r>
        <w:rPr>
          <w:rFonts w:ascii="Times New Roman" w:hAnsi="Times New Roman" w:eastAsia="仿宋" w:cs="Times New Roman"/>
          <w:szCs w:val="21"/>
        </w:rPr>
        <w:t>体制引力下滑对企业全要素生产率影响的重要前提是：如果不存在“限薪令”这一外生冲击，非国有企业和国有企业之间的全要素生产率发展趋势应该是一致的。若在2015年以前二者间的全要素生产率发展趋势就存在系统性差异，那么我们将没有信心认为是体制引力的下滑促进了非国有企业的全要素生产率</w:t>
      </w:r>
      <w:r>
        <w:rPr>
          <w:rFonts w:hint="eastAsia" w:ascii="Times New Roman" w:hAnsi="Times New Roman" w:eastAsia="仿宋" w:cs="Times New Roman"/>
          <w:szCs w:val="21"/>
        </w:rPr>
        <w:t>更快</w:t>
      </w:r>
      <w:r>
        <w:rPr>
          <w:rFonts w:ascii="Times New Roman" w:hAnsi="Times New Roman" w:eastAsia="仿宋" w:cs="Times New Roman"/>
          <w:szCs w:val="21"/>
        </w:rPr>
        <w:t>提升。为此，参考Michael and Hanna（2014）的建议，</w:t>
      </w:r>
      <w:r>
        <w:rPr>
          <w:rFonts w:hint="eastAsia" w:ascii="Times New Roman" w:hAnsi="Times New Roman" w:eastAsia="仿宋" w:cs="Times New Roman"/>
          <w:szCs w:val="21"/>
        </w:rPr>
        <w:t>本文利用模型（</w:t>
      </w:r>
      <w:r>
        <w:rPr>
          <w:rFonts w:hint="eastAsia" w:ascii="仿宋" w:hAnsi="仿宋" w:eastAsia="仿宋" w:cs="仿宋"/>
          <w:szCs w:val="21"/>
        </w:rPr>
        <w:t>Ⅵ</w:t>
      </w:r>
      <w:r>
        <w:rPr>
          <w:rFonts w:hint="eastAsia" w:ascii="Times New Roman" w:hAnsi="Times New Roman" w:eastAsia="仿宋" w:cs="Times New Roman"/>
          <w:szCs w:val="21"/>
        </w:rPr>
        <w:t>1）检验平行趋势：</w:t>
      </w:r>
    </w:p>
    <w:p>
      <w:pPr>
        <w:ind w:firstLine="1050" w:firstLineChars="500"/>
        <w:rPr>
          <w:rFonts w:ascii="仿宋" w:hAnsi="仿宋" w:eastAsia="仿宋" w:cs="仿宋"/>
          <w:sz w:val="18"/>
          <w:szCs w:val="18"/>
        </w:rPr>
      </w:pPr>
      <m:oMath>
        <m:r>
          <m:rPr>
            <m:sty m:val="p"/>
          </m:rPr>
          <w:rPr>
            <w:rFonts w:ascii="Cambria Math"/>
            <w:position w:val="-28"/>
            <w:szCs w:val="21"/>
          </w:rPr>
          <w:object>
            <v:shape id="_x0000_i1034" o:spt="75" type="#_x0000_t75" style="height:33.75pt;width:294.75pt;" o:ole="t" filled="f" o:preferrelative="t" stroked="f" coordsize="21600,21600">
              <v:path/>
              <v:fill on="f" focussize="0,0"/>
              <v:stroke on="f" joinstyle="miter"/>
              <v:imagedata r:id="rId28" o:title=""/>
              <o:lock v:ext="edit" aspectratio="f"/>
              <w10:wrap type="none"/>
              <w10:anchorlock/>
            </v:shape>
            <o:OLEObject Type="Embed" ProgID="Equation.DSMT4" ShapeID="_x0000_i1034" DrawAspect="Content" ObjectID="_1468075734" r:id="rId27">
              <o:LockedField>false</o:LockedField>
            </o:OLEObject>
          </w:object>
        </m:r>
      </m:oMath>
      <w:r>
        <w:rPr>
          <w:rFonts w:hint="eastAsia"/>
          <w:position w:val="-28"/>
          <w:szCs w:val="21"/>
        </w:rPr>
        <w:t xml:space="preserve">      </w:t>
      </w:r>
      <w:r>
        <w:rPr>
          <w:rFonts w:hint="eastAsia" w:ascii="Times New Roman" w:hAnsi="Times New Roman" w:eastAsia="仿宋" w:cs="Times New Roman"/>
          <w:szCs w:val="21"/>
        </w:rPr>
        <w:t>（</w:t>
      </w:r>
      <w:r>
        <w:rPr>
          <w:rFonts w:hint="eastAsia" w:ascii="仿宋" w:hAnsi="仿宋" w:eastAsia="仿宋" w:cs="仿宋"/>
          <w:szCs w:val="21"/>
        </w:rPr>
        <w:t>Ⅵ</w:t>
      </w:r>
      <w:r>
        <w:rPr>
          <w:rFonts w:hint="eastAsia" w:ascii="Times New Roman" w:hAnsi="Times New Roman" w:eastAsia="仿宋" w:cs="Times New Roman"/>
          <w:szCs w:val="21"/>
        </w:rPr>
        <w:t>1）</w:t>
      </w:r>
      <w:bookmarkStart w:id="15" w:name="_GoBack"/>
      <w:bookmarkEnd w:id="15"/>
    </w:p>
    <w:p>
      <w:pPr>
        <w:ind w:firstLine="420"/>
        <w:rPr>
          <w:rFonts w:ascii="Times New Roman" w:hAnsi="Times New Roman" w:eastAsia="仿宋" w:cs="Times New Roman"/>
          <w:szCs w:val="21"/>
        </w:rPr>
      </w:pPr>
      <w:r>
        <w:rPr>
          <w:rFonts w:hint="eastAsia" w:ascii="Times New Roman" w:hAnsi="Times New Roman" w:eastAsia="仿宋" w:cs="Times New Roman"/>
          <w:szCs w:val="21"/>
        </w:rPr>
        <w:t>模型中的其他设置与原文</w:t>
      </w:r>
      <w:r>
        <w:rPr>
          <w:rFonts w:hint="eastAsia" w:ascii="Times New Roman" w:hAnsi="Times New Roman" w:eastAsia="仿宋" w:cs="Times New Roman"/>
          <w:szCs w:val="21"/>
          <w:highlight w:val="none"/>
        </w:rPr>
        <w:t>式（</w:t>
      </w:r>
      <w:r>
        <w:rPr>
          <w:rFonts w:hint="eastAsia" w:ascii="Times New Roman" w:hAnsi="Times New Roman" w:eastAsia="仿宋" w:cs="Times New Roman"/>
          <w:szCs w:val="21"/>
          <w:highlight w:val="none"/>
          <w:lang w:val="en-US" w:eastAsia="zh-CN"/>
        </w:rPr>
        <w:t>19</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rPr>
        <w:t>保持一致，</w:t>
      </w:r>
      <w:r>
        <w:rPr>
          <w:rFonts w:hint="eastAsia" w:ascii="Times New Roman" w:hAnsi="Times New Roman" w:eastAsia="仿宋" w:cs="Times New Roman"/>
          <w:i/>
          <w:iCs/>
          <w:szCs w:val="21"/>
        </w:rPr>
        <w:t>I</w:t>
      </w:r>
      <w:r>
        <w:rPr>
          <w:rFonts w:hint="eastAsia" w:ascii="Times New Roman" w:hAnsi="Times New Roman" w:eastAsia="仿宋" w:cs="Times New Roman"/>
          <w:szCs w:val="21"/>
        </w:rPr>
        <w:t>是一个有关年份的虚拟变量集合，即加入2009-2017（除2015作为对照）共8个虚拟变量，例如2014年就把该年设为1，其他为0，其余类似。通过回归，我们将这些交互项的系数及其</w:t>
      </w:r>
      <w:r>
        <w:rPr>
          <w:rFonts w:ascii="Times New Roman" w:hAnsi="Times New Roman" w:eastAsia="仿宋" w:cs="Times New Roman"/>
          <w:szCs w:val="21"/>
        </w:rPr>
        <w:t>95%置信区间绘图，以此严格证明平行趋势假设。图</w:t>
      </w:r>
      <w:r>
        <w:rPr>
          <w:rFonts w:hint="eastAsia" w:ascii="仿宋" w:hAnsi="仿宋" w:eastAsia="仿宋" w:cs="仿宋"/>
          <w:szCs w:val="21"/>
        </w:rPr>
        <w:t>Ⅵ</w:t>
      </w:r>
      <w:r>
        <w:rPr>
          <w:rFonts w:hint="eastAsia" w:ascii="Times New Roman" w:hAnsi="Times New Roman" w:eastAsia="仿宋" w:cs="Times New Roman"/>
          <w:szCs w:val="21"/>
        </w:rPr>
        <w:t>1</w:t>
      </w:r>
      <w:r>
        <w:rPr>
          <w:rFonts w:ascii="Times New Roman" w:hAnsi="Times New Roman" w:eastAsia="仿宋" w:cs="Times New Roman"/>
          <w:szCs w:val="21"/>
        </w:rPr>
        <w:t>至图</w:t>
      </w:r>
      <w:r>
        <w:rPr>
          <w:rFonts w:hint="eastAsia" w:ascii="仿宋" w:hAnsi="仿宋" w:eastAsia="仿宋" w:cs="仿宋"/>
          <w:szCs w:val="21"/>
        </w:rPr>
        <w:t>Ⅵ</w:t>
      </w:r>
      <w:r>
        <w:rPr>
          <w:rFonts w:hint="eastAsia" w:ascii="Times New Roman" w:hAnsi="Times New Roman" w:eastAsia="仿宋" w:cs="Times New Roman"/>
          <w:szCs w:val="21"/>
        </w:rPr>
        <w:t>3</w:t>
      </w:r>
      <w:r>
        <w:rPr>
          <w:rFonts w:ascii="Times New Roman" w:hAnsi="Times New Roman" w:eastAsia="仿宋" w:cs="Times New Roman"/>
          <w:szCs w:val="21"/>
        </w:rPr>
        <w:t>的结果表明，在“限薪令”政策颁布之前，国有企业和非国有企业全要素生产率的变化趋势不存在系统性差异（95%置信区间均包含0值），而在“限薪令”之后，非国有企业较国有企业的全要素生产率</w:t>
      </w:r>
      <w:r>
        <w:rPr>
          <w:rFonts w:hint="eastAsia" w:ascii="Times New Roman" w:hAnsi="Times New Roman" w:eastAsia="仿宋" w:cs="Times New Roman"/>
          <w:szCs w:val="21"/>
        </w:rPr>
        <w:t>呈现出更快增长</w:t>
      </w:r>
      <w:r>
        <w:rPr>
          <w:rFonts w:ascii="Times New Roman" w:hAnsi="Times New Roman" w:eastAsia="仿宋" w:cs="Times New Roman"/>
          <w:szCs w:val="21"/>
        </w:rPr>
        <w:t>。这一方面表明，“限薪令”实施之前的事前平行趋势得到验证。另一方面也为本文的理论提供了更为稳健的证据：“限薪令”实施后的</w:t>
      </w:r>
      <w:r>
        <w:rPr>
          <w:rFonts w:hint="eastAsia" w:ascii="Times New Roman" w:hAnsi="Times New Roman" w:eastAsia="仿宋" w:cs="Times New Roman"/>
          <w:szCs w:val="21"/>
        </w:rPr>
        <w:t>显性</w:t>
      </w:r>
      <w:r>
        <w:rPr>
          <w:rFonts w:ascii="Times New Roman" w:hAnsi="Times New Roman" w:eastAsia="仿宋" w:cs="Times New Roman"/>
          <w:szCs w:val="21"/>
        </w:rPr>
        <w:t>体制引力下滑促进了非国有企业全要素生产率的</w:t>
      </w:r>
      <w:r>
        <w:rPr>
          <w:rFonts w:hint="eastAsia" w:ascii="Times New Roman" w:hAnsi="Times New Roman" w:eastAsia="仿宋" w:cs="Times New Roman"/>
          <w:szCs w:val="21"/>
        </w:rPr>
        <w:t>更快</w:t>
      </w:r>
      <w:r>
        <w:rPr>
          <w:rFonts w:ascii="Times New Roman" w:hAnsi="Times New Roman" w:eastAsia="仿宋" w:cs="Times New Roman"/>
          <w:szCs w:val="21"/>
        </w:rPr>
        <w:t>攀升。与此同时，“限薪令”颁布以后的系数呈现微弱的放大趋势，这是因为随着“限薪令”的落实，将不断修正劳动力对</w:t>
      </w:r>
      <w:r>
        <w:rPr>
          <w:rFonts w:hint="eastAsia" w:ascii="Times New Roman" w:hAnsi="Times New Roman" w:eastAsia="仿宋" w:cs="Times New Roman"/>
          <w:szCs w:val="21"/>
        </w:rPr>
        <w:t>显性</w:t>
      </w:r>
      <w:r>
        <w:rPr>
          <w:rFonts w:ascii="Times New Roman" w:hAnsi="Times New Roman" w:eastAsia="仿宋" w:cs="Times New Roman"/>
          <w:szCs w:val="21"/>
        </w:rPr>
        <w:t>体制引力下滑的正确预期，那么</w:t>
      </w:r>
      <w:r>
        <w:rPr>
          <w:rFonts w:hint="eastAsia" w:ascii="Times New Roman" w:hAnsi="Times New Roman" w:eastAsia="仿宋" w:cs="Times New Roman"/>
          <w:szCs w:val="21"/>
        </w:rPr>
        <w:t>将会有</w:t>
      </w:r>
      <w:r>
        <w:rPr>
          <w:rFonts w:ascii="Times New Roman" w:hAnsi="Times New Roman" w:eastAsia="仿宋" w:cs="Times New Roman"/>
          <w:szCs w:val="21"/>
        </w:rPr>
        <w:t>更多极具创新能力的人才将被吸纳至非国有企业展开创新活动，因而非国有企业的全要素生产率</w:t>
      </w:r>
      <w:r>
        <w:rPr>
          <w:rFonts w:hint="eastAsia" w:ascii="Times New Roman" w:hAnsi="Times New Roman" w:eastAsia="仿宋" w:cs="Times New Roman"/>
          <w:szCs w:val="21"/>
        </w:rPr>
        <w:t>增长速度逐渐加快</w:t>
      </w:r>
      <w:r>
        <w:rPr>
          <w:rFonts w:ascii="Times New Roman" w:hAnsi="Times New Roman" w:eastAsia="仿宋" w:cs="Times New Roman"/>
          <w:szCs w:val="21"/>
        </w:rPr>
        <w:t>。</w:t>
      </w:r>
    </w:p>
    <w:p>
      <w:pPr>
        <w:jc w:val="center"/>
        <w:rPr>
          <w:rFonts w:ascii="Times New Roman" w:hAnsi="Times New Roman" w:eastAsia="仿宋" w:cs="Times New Roman"/>
          <w:sz w:val="18"/>
          <w:szCs w:val="18"/>
        </w:rPr>
      </w:pPr>
      <w:r>
        <w:rPr>
          <w:rFonts w:ascii="Times New Roman" w:hAnsi="Times New Roman" w:eastAsia="仿宋" w:cs="Times New Roman"/>
          <w:sz w:val="18"/>
          <w:szCs w:val="18"/>
        </w:rPr>
        <w:drawing>
          <wp:inline distT="0" distB="0" distL="114300" distR="114300">
            <wp:extent cx="2478405" cy="1803400"/>
            <wp:effectExtent l="0" t="0" r="10795" b="0"/>
            <wp:docPr id="1" name="图片 1" descr="D:\浏览器下载\接收资料\传递资料\农业与劳动经济学\OP法平行趋势.pngOP法平行趋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接收资料\传递资料\农业与劳动经济学\OP法平行趋势.pngOP法平行趋势"/>
                    <pic:cNvPicPr>
                      <a:picLocks noChangeAspect="1"/>
                    </pic:cNvPicPr>
                  </pic:nvPicPr>
                  <pic:blipFill>
                    <a:blip r:embed="rId29"/>
                    <a:srcRect/>
                    <a:stretch>
                      <a:fillRect/>
                    </a:stretch>
                  </pic:blipFill>
                  <pic:spPr>
                    <a:xfrm>
                      <a:off x="0" y="0"/>
                      <a:ext cx="2478405" cy="1803400"/>
                    </a:xfrm>
                    <a:prstGeom prst="rect">
                      <a:avLst/>
                    </a:prstGeom>
                  </pic:spPr>
                </pic:pic>
              </a:graphicData>
            </a:graphic>
          </wp:inline>
        </w:drawing>
      </w:r>
      <w:r>
        <w:rPr>
          <w:rFonts w:ascii="Times New Roman" w:hAnsi="Times New Roman" w:eastAsia="仿宋" w:cs="Times New Roman"/>
          <w:sz w:val="18"/>
          <w:szCs w:val="18"/>
        </w:rPr>
        <w:drawing>
          <wp:inline distT="0" distB="0" distL="114300" distR="114300">
            <wp:extent cx="2478405" cy="1803400"/>
            <wp:effectExtent l="0" t="0" r="10795" b="0"/>
            <wp:docPr id="2" name="图片 2" descr="D:\浏览器下载\接收资料\传递资料\农业与劳动经济学\LP法平行趋势.pngLP法平行趋势"/>
            <wp:cNvGraphicFramePr/>
            <a:graphic xmlns:a="http://schemas.openxmlformats.org/drawingml/2006/main">
              <a:graphicData uri="http://schemas.openxmlformats.org/drawingml/2006/picture">
                <pic:pic xmlns:pic="http://schemas.openxmlformats.org/drawingml/2006/picture">
                  <pic:nvPicPr>
                    <pic:cNvPr id="2" name="图片 2" descr="D:\浏览器下载\接收资料\传递资料\农业与劳动经济学\LP法平行趋势.pngLP法平行趋势"/>
                    <pic:cNvPicPr preferRelativeResize="0"/>
                  </pic:nvPicPr>
                  <pic:blipFill>
                    <a:blip r:embed="rId30"/>
                    <a:srcRect/>
                    <a:stretch>
                      <a:fillRect/>
                    </a:stretch>
                  </pic:blipFill>
                  <pic:spPr>
                    <a:xfrm>
                      <a:off x="0" y="0"/>
                      <a:ext cx="2478405" cy="1803400"/>
                    </a:xfrm>
                    <a:prstGeom prst="rect">
                      <a:avLst/>
                    </a:prstGeom>
                  </pic:spPr>
                </pic:pic>
              </a:graphicData>
            </a:graphic>
          </wp:inline>
        </w:drawing>
      </w:r>
    </w:p>
    <w:p>
      <w:pPr>
        <w:rPr>
          <w:rFonts w:ascii="Times New Roman" w:hAnsi="Times New Roman" w:eastAsia="仿宋" w:cs="Times New Roman"/>
          <w:b/>
          <w:bCs/>
          <w:sz w:val="18"/>
          <w:szCs w:val="18"/>
        </w:rPr>
      </w:pPr>
      <w:r>
        <w:rPr>
          <w:rFonts w:ascii="Times New Roman" w:hAnsi="Times New Roman" w:eastAsia="仿宋" w:cs="Times New Roman"/>
          <w:sz w:val="18"/>
          <w:szCs w:val="18"/>
        </w:rPr>
        <w:t xml:space="preserve">            </w:t>
      </w:r>
      <w:r>
        <w:rPr>
          <w:rFonts w:hint="eastAsia" w:ascii="黑体" w:hAnsi="黑体" w:eastAsia="黑体" w:cs="黑体"/>
          <w:sz w:val="18"/>
          <w:szCs w:val="18"/>
        </w:rPr>
        <w:t xml:space="preserve">   图Ⅵ1  OP法全要素生产率 </w:t>
      </w:r>
      <w:r>
        <w:rPr>
          <w:rFonts w:ascii="Times New Roman" w:hAnsi="Times New Roman" w:eastAsia="仿宋" w:cs="Times New Roman"/>
          <w:b/>
          <w:bCs/>
          <w:sz w:val="18"/>
          <w:szCs w:val="18"/>
        </w:rPr>
        <w:t xml:space="preserve">       </w:t>
      </w:r>
      <w:r>
        <w:rPr>
          <w:rFonts w:hint="eastAsia" w:ascii="Times New Roman" w:hAnsi="Times New Roman" w:eastAsia="仿宋" w:cs="Times New Roman"/>
          <w:b/>
          <w:bCs/>
          <w:sz w:val="18"/>
          <w:szCs w:val="18"/>
        </w:rPr>
        <w:t xml:space="preserve"> </w:t>
      </w:r>
      <w:r>
        <w:rPr>
          <w:rFonts w:ascii="Times New Roman" w:hAnsi="Times New Roman" w:eastAsia="仿宋" w:cs="Times New Roman"/>
          <w:b/>
          <w:bCs/>
          <w:sz w:val="18"/>
          <w:szCs w:val="18"/>
        </w:rPr>
        <w:t xml:space="preserve"> </w:t>
      </w:r>
      <w:r>
        <w:rPr>
          <w:rFonts w:hint="eastAsia" w:ascii="Times New Roman" w:hAnsi="Times New Roman" w:eastAsia="仿宋" w:cs="Times New Roman"/>
          <w:b/>
          <w:bCs/>
          <w:sz w:val="18"/>
          <w:szCs w:val="18"/>
        </w:rPr>
        <w:t xml:space="preserve">        </w:t>
      </w:r>
      <w:r>
        <w:rPr>
          <w:rFonts w:hint="eastAsia" w:ascii="黑体" w:hAnsi="黑体" w:eastAsia="黑体" w:cs="黑体"/>
          <w:sz w:val="18"/>
          <w:szCs w:val="18"/>
        </w:rPr>
        <w:t xml:space="preserve">  </w:t>
      </w:r>
      <w:bookmarkStart w:id="13" w:name="OLE_LINK11"/>
      <w:r>
        <w:rPr>
          <w:rFonts w:hint="eastAsia" w:ascii="黑体" w:hAnsi="黑体" w:eastAsia="黑体" w:cs="黑体"/>
          <w:sz w:val="18"/>
          <w:szCs w:val="18"/>
        </w:rPr>
        <w:t>图Ⅵ2  LP法全要素生产率</w:t>
      </w:r>
      <w:bookmarkEnd w:id="13"/>
    </w:p>
    <w:p>
      <w:pPr>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t xml:space="preserve"> </w:t>
      </w:r>
      <w:r>
        <w:rPr>
          <w:rFonts w:ascii="Times New Roman" w:hAnsi="Times New Roman" w:eastAsia="仿宋" w:cs="Times New Roman"/>
          <w:b/>
          <w:bCs/>
          <w:sz w:val="18"/>
          <w:szCs w:val="18"/>
        </w:rPr>
        <w:drawing>
          <wp:inline distT="0" distB="0" distL="114300" distR="114300">
            <wp:extent cx="2440305" cy="1775460"/>
            <wp:effectExtent l="0" t="0" r="7620" b="5715"/>
            <wp:docPr id="3" name="图片 3" descr="D:\浏览器下载\接收资料\传递资料\农业与劳动经济学\opacf法平行趋势.pngopacf法平行趋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接收资料\传递资料\农业与劳动经济学\opacf法平行趋势.pngopacf法平行趋势"/>
                    <pic:cNvPicPr>
                      <a:picLocks noChangeAspect="1"/>
                    </pic:cNvPicPr>
                  </pic:nvPicPr>
                  <pic:blipFill>
                    <a:blip r:embed="rId31"/>
                    <a:srcRect/>
                    <a:stretch>
                      <a:fillRect/>
                    </a:stretch>
                  </pic:blipFill>
                  <pic:spPr>
                    <a:xfrm>
                      <a:off x="0" y="0"/>
                      <a:ext cx="2440305" cy="1775460"/>
                    </a:xfrm>
                    <a:prstGeom prst="rect">
                      <a:avLst/>
                    </a:prstGeom>
                  </pic:spPr>
                </pic:pic>
              </a:graphicData>
            </a:graphic>
          </wp:inline>
        </w:drawing>
      </w:r>
    </w:p>
    <w:p>
      <w:pPr>
        <w:jc w:val="center"/>
        <w:rPr>
          <w:rFonts w:ascii="Times New Roman" w:hAnsi="Times New Roman" w:eastAsia="仿宋" w:cs="Times New Roman"/>
          <w:b/>
          <w:bCs/>
          <w:szCs w:val="21"/>
        </w:rPr>
      </w:pPr>
      <w:r>
        <w:rPr>
          <w:rFonts w:hint="eastAsia" w:ascii="黑体" w:hAnsi="黑体" w:eastAsia="黑体" w:cs="黑体"/>
          <w:sz w:val="18"/>
          <w:szCs w:val="18"/>
        </w:rPr>
        <w:t>图Ⅵ3  Acf法全要素生产率</w:t>
      </w:r>
      <w:r>
        <w:rPr>
          <w:rFonts w:ascii="Times New Roman" w:hAnsi="Times New Roman" w:eastAsia="仿宋" w:cs="Times New Roman"/>
          <w:b/>
          <w:bCs/>
          <w:sz w:val="18"/>
          <w:szCs w:val="18"/>
        </w:rPr>
        <w:t xml:space="preserve">    </w:t>
      </w:r>
      <w:r>
        <w:rPr>
          <w:rFonts w:ascii="Times New Roman" w:hAnsi="Times New Roman" w:eastAsia="仿宋" w:cs="Times New Roman"/>
          <w:b/>
          <w:bCs/>
          <w:szCs w:val="21"/>
        </w:rPr>
        <w:t xml:space="preserve">                        </w:t>
      </w:r>
    </w:p>
    <w:p>
      <w:pPr>
        <w:ind w:left="420"/>
        <w:rPr>
          <w:rFonts w:ascii="Times New Roman" w:hAnsi="Times New Roman" w:eastAsia="仿宋" w:cs="Times New Roman"/>
          <w:b/>
          <w:bCs/>
          <w:szCs w:val="21"/>
        </w:rPr>
      </w:pPr>
      <w:r>
        <w:rPr>
          <w:rFonts w:hint="eastAsia" w:ascii="Times New Roman" w:hAnsi="Times New Roman" w:eastAsia="仿宋" w:cs="Times New Roman"/>
          <w:b/>
          <w:bCs/>
          <w:szCs w:val="21"/>
        </w:rPr>
        <w:t>2</w:t>
      </w:r>
      <w:r>
        <w:rPr>
          <w:rFonts w:ascii="Times New Roman" w:hAnsi="Times New Roman" w:eastAsia="仿宋" w:cs="Times New Roman"/>
          <w:b/>
          <w:bCs/>
          <w:szCs w:val="21"/>
        </w:rPr>
        <w:t>.安慰剂检验</w:t>
      </w:r>
    </w:p>
    <w:p>
      <w:pPr>
        <w:ind w:firstLine="420"/>
        <w:rPr>
          <w:rFonts w:ascii="Times New Roman" w:hAnsi="Times New Roman" w:eastAsia="仿宋" w:cs="Times New Roman"/>
          <w:szCs w:val="21"/>
        </w:rPr>
      </w:pPr>
      <w:r>
        <w:rPr>
          <w:rFonts w:ascii="Times New Roman" w:hAnsi="Times New Roman" w:eastAsia="仿宋" w:cs="Times New Roman"/>
          <w:szCs w:val="21"/>
        </w:rPr>
        <w:t>利用“限薪令”</w:t>
      </w:r>
      <w:r>
        <w:rPr>
          <w:rFonts w:hint="eastAsia" w:ascii="Times New Roman" w:hAnsi="Times New Roman" w:eastAsia="仿宋" w:cs="Times New Roman"/>
          <w:szCs w:val="21"/>
        </w:rPr>
        <w:t>表征显性</w:t>
      </w:r>
      <w:r>
        <w:rPr>
          <w:rFonts w:ascii="Times New Roman" w:hAnsi="Times New Roman" w:eastAsia="仿宋" w:cs="Times New Roman"/>
          <w:szCs w:val="21"/>
        </w:rPr>
        <w:t>体制引力下滑的因果推断策略中，不可避免的一个质疑是，非国有企业的全要素生产率发生显著变化可能源于其他宏观层面的随机因素，这样就无法稳健地认为非国有企业全要素生产率的提升是因为</w:t>
      </w:r>
      <w:r>
        <w:rPr>
          <w:rFonts w:hint="eastAsia" w:ascii="Times New Roman" w:hAnsi="Times New Roman" w:eastAsia="仿宋" w:cs="Times New Roman"/>
          <w:szCs w:val="21"/>
        </w:rPr>
        <w:t>显性</w:t>
      </w:r>
      <w:r>
        <w:rPr>
          <w:rFonts w:ascii="Times New Roman" w:hAnsi="Times New Roman" w:eastAsia="仿宋" w:cs="Times New Roman"/>
          <w:szCs w:val="21"/>
        </w:rPr>
        <w:t>体制引力的下滑。</w:t>
      </w:r>
      <w:r>
        <w:rPr>
          <w:rFonts w:hint="eastAsia" w:ascii="Times New Roman" w:hAnsi="Times New Roman" w:eastAsia="仿宋" w:cs="Times New Roman"/>
          <w:szCs w:val="21"/>
        </w:rPr>
        <w:t>对此</w:t>
      </w:r>
      <w:r>
        <w:rPr>
          <w:rFonts w:ascii="Times New Roman" w:hAnsi="Times New Roman" w:eastAsia="仿宋" w:cs="Times New Roman"/>
          <w:szCs w:val="21"/>
        </w:rPr>
        <w:t>，参考周茂等（2018）的建议，以随机生成处理组的“安慰剂检验策略”来判断非国有企业生产率的促进效应是否是由某些随机因素引起的。为了让“限薪令”对特定企业的冲击变得随机（根据计算生成），本文随机生成处理组，并将这一过程重复200次，再依据双重差分方法进行重复回归，进而将每次回归交乘项的t值统计，得到如图</w:t>
      </w:r>
      <w:r>
        <w:rPr>
          <w:rFonts w:hint="eastAsia" w:ascii="仿宋" w:hAnsi="仿宋" w:eastAsia="仿宋" w:cs="仿宋"/>
          <w:szCs w:val="21"/>
        </w:rPr>
        <w:t>Ⅵ4</w:t>
      </w:r>
      <w:r>
        <w:rPr>
          <w:rFonts w:ascii="Times New Roman" w:hAnsi="Times New Roman" w:eastAsia="仿宋" w:cs="Times New Roman"/>
          <w:szCs w:val="21"/>
        </w:rPr>
        <w:t>至图</w:t>
      </w:r>
      <w:r>
        <w:rPr>
          <w:rFonts w:hint="eastAsia" w:ascii="仿宋" w:hAnsi="仿宋" w:eastAsia="仿宋" w:cs="仿宋"/>
          <w:szCs w:val="21"/>
        </w:rPr>
        <w:t>Ⅵ6</w:t>
      </w:r>
      <w:r>
        <w:rPr>
          <w:rFonts w:ascii="Times New Roman" w:hAnsi="Times New Roman" w:eastAsia="仿宋" w:cs="Times New Roman"/>
          <w:szCs w:val="21"/>
        </w:rPr>
        <w:t>的核密度图。观察图</w:t>
      </w:r>
      <w:r>
        <w:rPr>
          <w:rFonts w:hint="eastAsia" w:ascii="Times New Roman" w:hAnsi="Times New Roman" w:eastAsia="仿宋" w:cs="Times New Roman"/>
          <w:szCs w:val="21"/>
        </w:rPr>
        <w:t>7</w:t>
      </w:r>
      <w:r>
        <w:rPr>
          <w:rFonts w:ascii="Times New Roman" w:hAnsi="Times New Roman" w:eastAsia="仿宋" w:cs="Times New Roman"/>
          <w:szCs w:val="21"/>
        </w:rPr>
        <w:t>至图</w:t>
      </w:r>
      <w:r>
        <w:rPr>
          <w:rFonts w:hint="eastAsia" w:ascii="Times New Roman" w:hAnsi="Times New Roman" w:eastAsia="仿宋" w:cs="Times New Roman"/>
          <w:szCs w:val="21"/>
        </w:rPr>
        <w:t>9</w:t>
      </w:r>
      <w:r>
        <w:rPr>
          <w:rFonts w:ascii="Times New Roman" w:hAnsi="Times New Roman" w:eastAsia="仿宋" w:cs="Times New Roman"/>
          <w:szCs w:val="21"/>
        </w:rPr>
        <w:t>可以发现，估计所有虚拟处理组所得到核心解释变量的t值都集中在0附近，只有极少数回归的t值是显著的。而且与</w:t>
      </w:r>
      <w:r>
        <w:rPr>
          <w:rFonts w:hint="eastAsia" w:ascii="Times New Roman" w:hAnsi="Times New Roman" w:eastAsia="仿宋" w:cs="Times New Roman"/>
          <w:szCs w:val="21"/>
        </w:rPr>
        <w:t>原文</w:t>
      </w:r>
      <w:r>
        <w:rPr>
          <w:rFonts w:ascii="Times New Roman" w:hAnsi="Times New Roman" w:eastAsia="仿宋" w:cs="Times New Roman"/>
          <w:szCs w:val="21"/>
        </w:rPr>
        <w:t>表</w:t>
      </w:r>
      <w:r>
        <w:rPr>
          <w:rFonts w:hint="eastAsia" w:ascii="Times New Roman" w:hAnsi="Times New Roman" w:eastAsia="仿宋" w:cs="Times New Roman"/>
          <w:szCs w:val="21"/>
        </w:rPr>
        <w:t>7</w:t>
      </w:r>
      <w:r>
        <w:rPr>
          <w:rFonts w:ascii="Times New Roman" w:hAnsi="Times New Roman" w:eastAsia="仿宋" w:cs="Times New Roman"/>
          <w:szCs w:val="21"/>
        </w:rPr>
        <w:t>回归的结果相比，甚至没有一次结果大于真实回归系数的t值（我们在图</w:t>
      </w:r>
      <w:r>
        <w:rPr>
          <w:rFonts w:hint="eastAsia" w:ascii="仿宋" w:hAnsi="仿宋" w:eastAsia="仿宋" w:cs="仿宋"/>
          <w:szCs w:val="21"/>
        </w:rPr>
        <w:t>Ⅵ4</w:t>
      </w:r>
      <w:r>
        <w:rPr>
          <w:rFonts w:ascii="Times New Roman" w:hAnsi="Times New Roman" w:eastAsia="仿宋" w:cs="Times New Roman"/>
          <w:szCs w:val="21"/>
        </w:rPr>
        <w:t>至图</w:t>
      </w:r>
      <w:r>
        <w:rPr>
          <w:rFonts w:hint="eastAsia" w:ascii="仿宋" w:hAnsi="仿宋" w:eastAsia="仿宋" w:cs="仿宋"/>
          <w:szCs w:val="21"/>
        </w:rPr>
        <w:t>Ⅵ6</w:t>
      </w:r>
      <w:r>
        <w:rPr>
          <w:rFonts w:ascii="Times New Roman" w:hAnsi="Times New Roman" w:eastAsia="仿宋" w:cs="Times New Roman"/>
          <w:szCs w:val="21"/>
        </w:rPr>
        <w:t>中加入了真实回归t值的竖线，但由于虚拟回归和真实回归的t值差距过大，图形中没有显示），这说明未观测的宏观随机因素并不会对结果产生显著影响，体制引力理论</w:t>
      </w:r>
      <w:r>
        <w:rPr>
          <w:rFonts w:hint="eastAsia" w:ascii="Times New Roman" w:hAnsi="Times New Roman" w:eastAsia="仿宋" w:cs="Times New Roman"/>
          <w:szCs w:val="21"/>
        </w:rPr>
        <w:t>能够</w:t>
      </w:r>
      <w:r>
        <w:rPr>
          <w:rFonts w:ascii="Times New Roman" w:hAnsi="Times New Roman" w:eastAsia="仿宋" w:cs="Times New Roman"/>
          <w:szCs w:val="21"/>
        </w:rPr>
        <w:t>解释“限薪令”下非国有企业全要素生产率的陡然上升。</w:t>
      </w:r>
    </w:p>
    <w:p>
      <w:pPr>
        <w:jc w:val="center"/>
        <w:rPr>
          <w:rFonts w:ascii="Times New Roman" w:hAnsi="Times New Roman" w:eastAsia="仿宋" w:cs="Times New Roman"/>
          <w:szCs w:val="21"/>
        </w:rPr>
      </w:pPr>
      <w:r>
        <w:rPr>
          <w:rFonts w:ascii="Times New Roman" w:hAnsi="Times New Roman" w:eastAsia="仿宋" w:cs="Times New Roman"/>
          <w:szCs w:val="21"/>
        </w:rPr>
        <w:drawing>
          <wp:inline distT="0" distB="0" distL="114300" distR="114300">
            <wp:extent cx="2482215" cy="1803400"/>
            <wp:effectExtent l="0" t="0" r="6985" b="0"/>
            <wp:docPr id="6" name="图片 6" descr="D:\农业与劳动经济学\安慰剂op法.png安慰剂op法"/>
            <wp:cNvGraphicFramePr/>
            <a:graphic xmlns:a="http://schemas.openxmlformats.org/drawingml/2006/main">
              <a:graphicData uri="http://schemas.openxmlformats.org/drawingml/2006/picture">
                <pic:pic xmlns:pic="http://schemas.openxmlformats.org/drawingml/2006/picture">
                  <pic:nvPicPr>
                    <pic:cNvPr id="6" name="图片 6" descr="D:\农业与劳动经济学\安慰剂op法.png安慰剂op法"/>
                    <pic:cNvPicPr preferRelativeResize="0"/>
                  </pic:nvPicPr>
                  <pic:blipFill>
                    <a:blip r:embed="rId32"/>
                    <a:srcRect/>
                    <a:stretch>
                      <a:fillRect/>
                    </a:stretch>
                  </pic:blipFill>
                  <pic:spPr>
                    <a:xfrm>
                      <a:off x="0" y="0"/>
                      <a:ext cx="2482215" cy="1803400"/>
                    </a:xfrm>
                    <a:prstGeom prst="rect">
                      <a:avLst/>
                    </a:prstGeom>
                  </pic:spPr>
                </pic:pic>
              </a:graphicData>
            </a:graphic>
          </wp:inline>
        </w:drawing>
      </w:r>
      <w:r>
        <w:rPr>
          <w:rFonts w:ascii="Times New Roman" w:hAnsi="Times New Roman" w:eastAsia="仿宋" w:cs="Times New Roman"/>
          <w:szCs w:val="21"/>
        </w:rPr>
        <w:drawing>
          <wp:inline distT="0" distB="0" distL="114300" distR="114300">
            <wp:extent cx="2478405" cy="1803400"/>
            <wp:effectExtent l="0" t="0" r="10795" b="0"/>
            <wp:docPr id="7" name="图片 7" descr="D:\浏览器下载\接收资料\传递资料\农业与劳动经济学\安慰剂LP法.png安慰剂LP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浏览器下载\接收资料\传递资料\农业与劳动经济学\安慰剂LP法.png安慰剂LP法"/>
                    <pic:cNvPicPr>
                      <a:picLocks noChangeAspect="1"/>
                    </pic:cNvPicPr>
                  </pic:nvPicPr>
                  <pic:blipFill>
                    <a:blip r:embed="rId33"/>
                    <a:srcRect/>
                    <a:stretch>
                      <a:fillRect/>
                    </a:stretch>
                  </pic:blipFill>
                  <pic:spPr>
                    <a:xfrm>
                      <a:off x="0" y="0"/>
                      <a:ext cx="2478405" cy="1803400"/>
                    </a:xfrm>
                    <a:prstGeom prst="rect">
                      <a:avLst/>
                    </a:prstGeom>
                  </pic:spPr>
                </pic:pic>
              </a:graphicData>
            </a:graphic>
          </wp:inline>
        </w:drawing>
      </w:r>
    </w:p>
    <w:p>
      <w:pPr>
        <w:rPr>
          <w:rFonts w:ascii="黑体" w:hAnsi="黑体" w:eastAsia="黑体" w:cs="黑体"/>
          <w:b/>
          <w:bCs/>
          <w:sz w:val="18"/>
          <w:szCs w:val="18"/>
        </w:rPr>
      </w:pPr>
      <w:r>
        <w:rPr>
          <w:rFonts w:hint="eastAsia" w:ascii="黑体" w:hAnsi="黑体" w:eastAsia="黑体" w:cs="黑体"/>
          <w:b/>
          <w:bCs/>
          <w:sz w:val="18"/>
          <w:szCs w:val="18"/>
        </w:rPr>
        <w:t xml:space="preserve"> 图</w:t>
      </w:r>
      <w:r>
        <w:rPr>
          <w:rFonts w:hint="eastAsia" w:ascii="黑体" w:hAnsi="黑体" w:eastAsia="黑体" w:cs="黑体"/>
          <w:sz w:val="18"/>
          <w:szCs w:val="18"/>
        </w:rPr>
        <w:t>Ⅵ4</w:t>
      </w:r>
      <w:r>
        <w:rPr>
          <w:rFonts w:hint="eastAsia" w:ascii="黑体" w:hAnsi="黑体" w:eastAsia="黑体" w:cs="黑体"/>
          <w:b/>
          <w:bCs/>
          <w:sz w:val="18"/>
          <w:szCs w:val="18"/>
        </w:rPr>
        <w:t xml:space="preserve">  体制引力变化对企业Tfp（op）回归的t值  图</w:t>
      </w:r>
      <w:r>
        <w:rPr>
          <w:rFonts w:hint="eastAsia" w:ascii="黑体" w:hAnsi="黑体" w:eastAsia="黑体" w:cs="黑体"/>
          <w:sz w:val="18"/>
          <w:szCs w:val="18"/>
        </w:rPr>
        <w:t>Ⅵ5</w:t>
      </w:r>
      <w:r>
        <w:rPr>
          <w:rFonts w:hint="eastAsia" w:ascii="黑体" w:hAnsi="黑体" w:eastAsia="黑体" w:cs="黑体"/>
          <w:b/>
          <w:bCs/>
          <w:sz w:val="18"/>
          <w:szCs w:val="18"/>
        </w:rPr>
        <w:t xml:space="preserve">  体制引力变化对企业Tfp（lp）回归的t值</w:t>
      </w:r>
    </w:p>
    <w:p>
      <w:pPr>
        <w:jc w:val="center"/>
        <w:rPr>
          <w:rFonts w:ascii="Times New Roman" w:hAnsi="Times New Roman" w:eastAsia="仿宋" w:cs="Times New Roman"/>
          <w:b/>
          <w:bCs/>
          <w:sz w:val="18"/>
          <w:szCs w:val="18"/>
        </w:rPr>
      </w:pPr>
      <w:r>
        <w:rPr>
          <w:rFonts w:ascii="Times New Roman" w:hAnsi="Times New Roman" w:eastAsia="仿宋" w:cs="Times New Roman"/>
          <w:b/>
          <w:bCs/>
          <w:sz w:val="18"/>
          <w:szCs w:val="18"/>
        </w:rPr>
        <w:drawing>
          <wp:inline distT="0" distB="0" distL="114300" distR="114300">
            <wp:extent cx="2482215" cy="1803400"/>
            <wp:effectExtent l="0" t="0" r="6985" b="0"/>
            <wp:docPr id="9" name="图片 9" descr="D:\农业与劳动经济学\安慰剂opacf法.png安慰剂opacf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农业与劳动经济学\安慰剂opacf法.png安慰剂opacf法"/>
                    <pic:cNvPicPr>
                      <a:picLocks noChangeAspect="1"/>
                    </pic:cNvPicPr>
                  </pic:nvPicPr>
                  <pic:blipFill>
                    <a:blip r:embed="rId34"/>
                    <a:srcRect/>
                    <a:stretch>
                      <a:fillRect/>
                    </a:stretch>
                  </pic:blipFill>
                  <pic:spPr>
                    <a:xfrm>
                      <a:off x="0" y="0"/>
                      <a:ext cx="2482215" cy="1803400"/>
                    </a:xfrm>
                    <a:prstGeom prst="rect">
                      <a:avLst/>
                    </a:prstGeom>
                  </pic:spPr>
                </pic:pic>
              </a:graphicData>
            </a:graphic>
          </wp:inline>
        </w:drawing>
      </w:r>
    </w:p>
    <w:p>
      <w:pPr>
        <w:ind w:firstLine="361" w:firstLineChars="200"/>
        <w:jc w:val="center"/>
        <w:rPr>
          <w:rFonts w:ascii="Times New Roman" w:hAnsi="Times New Roman" w:eastAsia="宋体" w:cs="Times New Roman"/>
          <w:sz w:val="15"/>
          <w:szCs w:val="15"/>
        </w:rPr>
      </w:pPr>
      <w:r>
        <w:rPr>
          <w:rFonts w:hint="eastAsia" w:ascii="黑体" w:hAnsi="黑体" w:eastAsia="黑体" w:cs="黑体"/>
          <w:b/>
          <w:bCs/>
          <w:sz w:val="18"/>
          <w:szCs w:val="18"/>
        </w:rPr>
        <w:t>图Ⅵ6  体制引力变化对企业Tfp（opacf）回归的t值</w:t>
      </w:r>
      <w:r>
        <w:rPr>
          <w:rFonts w:hint="eastAsia" w:ascii="Times New Roman" w:hAnsi="Times New Roman" w:eastAsia="宋体" w:cs="Times New Roman"/>
          <w:sz w:val="15"/>
          <w:szCs w:val="15"/>
        </w:rPr>
        <w:br w:type="page"/>
      </w:r>
    </w:p>
    <w:p>
      <w:pPr>
        <w:pStyle w:val="2"/>
        <w:spacing w:line="240" w:lineRule="auto"/>
        <w:jc w:val="center"/>
        <w:rPr>
          <w:rFonts w:ascii="楷体" w:hAnsi="楷体" w:eastAsia="楷体" w:cs="Times New Roman"/>
          <w:b w:val="0"/>
          <w:bCs w:val="0"/>
          <w:sz w:val="28"/>
          <w:szCs w:val="28"/>
        </w:rPr>
      </w:pPr>
      <w:bookmarkStart w:id="14" w:name="_Toc159314272"/>
      <w:r>
        <w:rPr>
          <w:rFonts w:hint="eastAsia" w:ascii="楷体" w:hAnsi="楷体" w:eastAsia="楷体"/>
          <w:b w:val="0"/>
          <w:bCs w:val="0"/>
          <w:sz w:val="28"/>
          <w:szCs w:val="28"/>
        </w:rPr>
        <w:t>附录Ⅶ 体制引力对精英配置的扭曲及其福利损失</w:t>
      </w:r>
      <w:bookmarkEnd w:id="14"/>
    </w:p>
    <w:p>
      <w:pPr>
        <w:widowControl/>
        <w:ind w:firstLine="420"/>
        <w:rPr>
          <w:rFonts w:ascii="Times New Roman" w:hAnsi="Times New Roman" w:eastAsia="仿宋" w:cs="Times New Roman"/>
          <w:szCs w:val="21"/>
        </w:rPr>
      </w:pPr>
      <w:r>
        <w:rPr>
          <w:rFonts w:ascii="Times New Roman" w:hAnsi="Times New Roman" w:eastAsia="仿宋" w:cs="Times New Roman"/>
          <w:szCs w:val="21"/>
        </w:rPr>
        <w:t xml:space="preserve">参考Murphy </w:t>
      </w:r>
      <w:r>
        <w:rPr>
          <w:rFonts w:hint="eastAsia" w:ascii="Times New Roman" w:hAnsi="Times New Roman" w:eastAsia="仿宋" w:cs="Times New Roman"/>
          <w:szCs w:val="21"/>
        </w:rPr>
        <w:t>et</w:t>
      </w:r>
      <w:r>
        <w:rPr>
          <w:rFonts w:ascii="Times New Roman" w:hAnsi="Times New Roman" w:eastAsia="仿宋" w:cs="Times New Roman"/>
          <w:szCs w:val="21"/>
        </w:rPr>
        <w:t xml:space="preserve"> </w:t>
      </w:r>
      <w:r>
        <w:rPr>
          <w:rFonts w:hint="eastAsia" w:ascii="Times New Roman" w:hAnsi="Times New Roman" w:eastAsia="仿宋" w:cs="Times New Roman"/>
          <w:szCs w:val="21"/>
        </w:rPr>
        <w:t>al.</w:t>
      </w:r>
      <w:r>
        <w:rPr>
          <w:rFonts w:ascii="Times New Roman" w:hAnsi="Times New Roman" w:eastAsia="仿宋" w:cs="Times New Roman"/>
          <w:szCs w:val="21"/>
        </w:rPr>
        <w:t>（1991</w:t>
      </w:r>
      <w:r>
        <w:rPr>
          <w:rFonts w:hint="eastAsia" w:ascii="Times New Roman" w:hAnsi="Times New Roman" w:eastAsia="仿宋" w:cs="Times New Roman"/>
          <w:szCs w:val="21"/>
        </w:rPr>
        <w:t>）</w:t>
      </w:r>
      <w:r>
        <w:rPr>
          <w:rFonts w:ascii="Times New Roman" w:hAnsi="Times New Roman" w:eastAsia="仿宋" w:cs="Times New Roman"/>
          <w:szCs w:val="21"/>
        </w:rPr>
        <w:t>，他们都强调了精英误配置对社会福利的重要影响，</w:t>
      </w:r>
      <w:r>
        <w:rPr>
          <w:rFonts w:hint="eastAsia" w:ascii="Times New Roman" w:hAnsi="Times New Roman" w:eastAsia="仿宋" w:cs="Times New Roman"/>
          <w:szCs w:val="21"/>
        </w:rPr>
        <w:t>我们也</w:t>
      </w:r>
      <w:r>
        <w:rPr>
          <w:rFonts w:ascii="Times New Roman" w:hAnsi="Times New Roman" w:eastAsia="仿宋" w:cs="Times New Roman"/>
          <w:szCs w:val="21"/>
        </w:rPr>
        <w:t>同样关心</w:t>
      </w:r>
      <w:r>
        <w:rPr>
          <w:rFonts w:hint="eastAsia" w:ascii="Times New Roman" w:hAnsi="Times New Roman" w:eastAsia="仿宋" w:cs="Times New Roman"/>
          <w:szCs w:val="21"/>
        </w:rPr>
        <w:t>显性</w:t>
      </w:r>
      <w:r>
        <w:rPr>
          <w:rFonts w:ascii="Times New Roman" w:hAnsi="Times New Roman" w:eastAsia="仿宋" w:cs="Times New Roman"/>
          <w:szCs w:val="21"/>
        </w:rPr>
        <w:t>体制引力是否也诱致了社会精英向体制部门的过度配置。为了检验这一</w:t>
      </w:r>
      <w:r>
        <w:rPr>
          <w:rFonts w:hint="eastAsia" w:ascii="Times New Roman" w:hAnsi="Times New Roman" w:eastAsia="仿宋" w:cs="Times New Roman"/>
          <w:szCs w:val="21"/>
        </w:rPr>
        <w:t>假说</w:t>
      </w:r>
      <w:r>
        <w:rPr>
          <w:rFonts w:ascii="Times New Roman" w:hAnsi="Times New Roman" w:eastAsia="仿宋" w:cs="Times New Roman"/>
          <w:szCs w:val="21"/>
        </w:rPr>
        <w:t>，本文延用前文体制-非体制人才配置的度量策略（混合指标1和2），但采用高管的受教育状况来度量，用来刻画精英在体制-非体制部门的配置格局，并以此识别</w:t>
      </w:r>
      <w:r>
        <w:rPr>
          <w:rFonts w:hint="eastAsia" w:ascii="Times New Roman" w:hAnsi="Times New Roman" w:eastAsia="仿宋" w:cs="Times New Roman"/>
          <w:szCs w:val="21"/>
        </w:rPr>
        <w:t>显性</w:t>
      </w:r>
      <w:r>
        <w:rPr>
          <w:rFonts w:ascii="Times New Roman" w:hAnsi="Times New Roman" w:eastAsia="仿宋" w:cs="Times New Roman"/>
          <w:szCs w:val="21"/>
        </w:rPr>
        <w:t>体制引力对精英配置结构乃至社会福利的影响。</w:t>
      </w:r>
    </w:p>
    <w:p>
      <w:pPr>
        <w:widowControl/>
        <w:ind w:firstLine="420"/>
        <w:rPr>
          <w:rFonts w:ascii="Times New Roman" w:hAnsi="Times New Roman" w:eastAsia="仿宋" w:cs="Times New Roman"/>
          <w:szCs w:val="21"/>
        </w:rPr>
      </w:pPr>
      <w:r>
        <w:rPr>
          <w:rFonts w:ascii="Times New Roman" w:hAnsi="Times New Roman" w:eastAsia="仿宋" w:cs="Times New Roman"/>
          <w:szCs w:val="21"/>
        </w:rPr>
        <w:t>表</w:t>
      </w:r>
      <w:r>
        <w:rPr>
          <w:rFonts w:hint="eastAsia" w:ascii="仿宋" w:hAnsi="仿宋" w:eastAsia="仿宋" w:cs="仿宋"/>
          <w:szCs w:val="21"/>
        </w:rPr>
        <w:t>Ⅶ</w:t>
      </w:r>
      <w:r>
        <w:rPr>
          <w:rFonts w:hint="eastAsia" w:ascii="Times New Roman" w:hAnsi="Times New Roman" w:eastAsia="仿宋" w:cs="Times New Roman"/>
          <w:szCs w:val="21"/>
        </w:rPr>
        <w:t>1</w:t>
      </w:r>
      <w:r>
        <w:rPr>
          <w:rFonts w:ascii="Times New Roman" w:hAnsi="Times New Roman" w:eastAsia="仿宋" w:cs="Times New Roman"/>
          <w:szCs w:val="21"/>
        </w:rPr>
        <w:t>（1）-（2）列的结果显示，</w:t>
      </w:r>
      <w:r>
        <w:rPr>
          <w:rFonts w:hint="eastAsia" w:ascii="Times New Roman" w:hAnsi="Times New Roman" w:eastAsia="仿宋" w:cs="Times New Roman"/>
          <w:szCs w:val="21"/>
        </w:rPr>
        <w:t>显性</w:t>
      </w:r>
      <w:r>
        <w:rPr>
          <w:rFonts w:ascii="Times New Roman" w:hAnsi="Times New Roman" w:eastAsia="仿宋" w:cs="Times New Roman"/>
          <w:szCs w:val="21"/>
        </w:rPr>
        <w:t>体制引力同样促进了精英向体制部门内配置，并且</w:t>
      </w:r>
      <w:r>
        <w:rPr>
          <w:rFonts w:hint="eastAsia" w:ascii="Times New Roman" w:hAnsi="Times New Roman" w:eastAsia="仿宋" w:cs="Times New Roman"/>
          <w:szCs w:val="21"/>
        </w:rPr>
        <w:t>显性</w:t>
      </w:r>
      <w:r>
        <w:rPr>
          <w:rFonts w:ascii="Times New Roman" w:hAnsi="Times New Roman" w:eastAsia="仿宋" w:cs="Times New Roman"/>
          <w:szCs w:val="21"/>
        </w:rPr>
        <w:t>体制引力的估计系数远高于以员工级别数据刻画人才配置结构所获得的结果（两者分别为0.413和0.40</w:t>
      </w:r>
      <w:r>
        <w:rPr>
          <w:rFonts w:hint="eastAsia" w:ascii="Times New Roman" w:hAnsi="Times New Roman" w:eastAsia="仿宋" w:cs="Times New Roman"/>
          <w:szCs w:val="21"/>
        </w:rPr>
        <w:t>4</w:t>
      </w:r>
      <w:r>
        <w:rPr>
          <w:rFonts w:ascii="Times New Roman" w:hAnsi="Times New Roman" w:eastAsia="仿宋" w:cs="Times New Roman"/>
          <w:szCs w:val="21"/>
        </w:rPr>
        <w:t>），这说明之前可能低估了</w:t>
      </w:r>
      <w:r>
        <w:rPr>
          <w:rFonts w:hint="eastAsia" w:ascii="Times New Roman" w:hAnsi="Times New Roman" w:eastAsia="仿宋" w:cs="Times New Roman"/>
          <w:szCs w:val="21"/>
        </w:rPr>
        <w:t>显性</w:t>
      </w:r>
      <w:r>
        <w:rPr>
          <w:rFonts w:ascii="Times New Roman" w:hAnsi="Times New Roman" w:eastAsia="仿宋" w:cs="Times New Roman"/>
          <w:szCs w:val="21"/>
        </w:rPr>
        <w:t>体制引力的诱导效应，因为</w:t>
      </w:r>
      <w:r>
        <w:rPr>
          <w:rFonts w:hint="eastAsia" w:ascii="Times New Roman" w:hAnsi="Times New Roman" w:eastAsia="仿宋" w:cs="Times New Roman"/>
          <w:szCs w:val="21"/>
        </w:rPr>
        <w:t>显性</w:t>
      </w:r>
      <w:r>
        <w:rPr>
          <w:rFonts w:ascii="Times New Roman" w:hAnsi="Times New Roman" w:eastAsia="仿宋" w:cs="Times New Roman"/>
          <w:szCs w:val="21"/>
        </w:rPr>
        <w:t>体制引力如果对社会精英的影响更为剧烈，也就更可能对社会福利产生更深远的影响。第（3）-（4）列的结果则发现，精英配置结构的失衡也对企业全要素生产率产生了负面影响。受篇幅所限，虽然这一估计较基准回归粗糙（无法识别其因果关系），但至少我们能够认为：精英（企业家精神）的配置效率扭曲程度与企业的全要素生产率（均值）有着十分显著的负相关关系。</w:t>
      </w:r>
    </w:p>
    <w:p>
      <w:pPr>
        <w:widowControl/>
        <w:ind w:firstLine="420"/>
        <w:rPr>
          <w:rFonts w:ascii="Times New Roman" w:hAnsi="Times New Roman" w:eastAsia="仿宋" w:cs="Times New Roman"/>
          <w:szCs w:val="21"/>
        </w:rPr>
      </w:pPr>
      <w:r>
        <w:rPr>
          <w:rFonts w:ascii="Times New Roman" w:hAnsi="Times New Roman" w:eastAsia="仿宋" w:cs="Times New Roman"/>
          <w:szCs w:val="21"/>
        </w:rPr>
        <w:t>究其原因，这是因为社会精英较普通劳动力很可能掌握更多的信息，也即其对体制部门的比较优势了解更为充分，那么在理性人假设下，如果</w:t>
      </w:r>
      <w:r>
        <w:rPr>
          <w:rFonts w:hint="eastAsia" w:ascii="Times New Roman" w:hAnsi="Times New Roman" w:eastAsia="仿宋" w:cs="Times New Roman"/>
          <w:szCs w:val="21"/>
        </w:rPr>
        <w:t>显性</w:t>
      </w:r>
      <w:r>
        <w:rPr>
          <w:rFonts w:ascii="Times New Roman" w:hAnsi="Times New Roman" w:eastAsia="仿宋" w:cs="Times New Roman"/>
          <w:szCs w:val="21"/>
        </w:rPr>
        <w:t>体制引力越高，其就越倾向于进入体制部门从业。更进一步地，精英配置扭曲为何抑制企业生产率也承接以上逻辑：由于体制部门的关系网优势和超额报酬优势是体制引力的重要组成部分，那么掌握体制部门比较优势信息的精英进入体制部门后为了获取其预期中所应享有的这两类优势，就会偏向于寻租而不是风险性创新活动。</w:t>
      </w:r>
    </w:p>
    <w:p>
      <w:pPr>
        <w:widowControl/>
        <w:jc w:val="left"/>
        <w:rPr>
          <w:rFonts w:ascii="Times New Roman" w:hAnsi="Times New Roman" w:eastAsia="仿宋" w:cs="Times New Roman"/>
          <w:sz w:val="18"/>
          <w:szCs w:val="18"/>
        </w:rPr>
      </w:pPr>
    </w:p>
    <w:p>
      <w:pPr>
        <w:jc w:val="center"/>
        <w:rPr>
          <w:rFonts w:ascii="黑体" w:hAnsi="黑体" w:eastAsia="黑体" w:cs="黑体"/>
          <w:sz w:val="18"/>
          <w:szCs w:val="18"/>
        </w:rPr>
      </w:pPr>
      <w:r>
        <w:rPr>
          <w:rFonts w:hint="eastAsia" w:ascii="黑体" w:hAnsi="黑体" w:eastAsia="黑体" w:cs="黑体"/>
          <w:sz w:val="18"/>
          <w:szCs w:val="18"/>
        </w:rPr>
        <w:t>表Ⅶ1  体制引力、高管能力误置与企业TFP</w:t>
      </w:r>
    </w:p>
    <w:tbl>
      <w:tblPr>
        <w:tblStyle w:val="14"/>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10"/>
        <w:gridCol w:w="1679"/>
        <w:gridCol w:w="1681"/>
        <w:gridCol w:w="1778"/>
        <w:gridCol w:w="177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44" w:type="pct"/>
            <w:tcBorders>
              <w:bottom w:val="nil"/>
              <w:right w:val="nil"/>
            </w:tcBorders>
          </w:tcPr>
          <w:p>
            <w:pPr>
              <w:jc w:val="center"/>
              <w:rPr>
                <w:rFonts w:ascii="Times New Roman" w:hAnsi="Times New Roman" w:eastAsia="仿宋" w:cs="Times New Roman"/>
                <w:sz w:val="15"/>
                <w:szCs w:val="15"/>
              </w:rPr>
            </w:pPr>
          </w:p>
        </w:tc>
        <w:tc>
          <w:tcPr>
            <w:tcW w:w="985" w:type="pct"/>
            <w:tcBorders>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（1）</w:t>
            </w:r>
          </w:p>
        </w:tc>
        <w:tc>
          <w:tcPr>
            <w:tcW w:w="986" w:type="pct"/>
            <w:tcBorders>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（2）</w:t>
            </w:r>
          </w:p>
        </w:tc>
        <w:tc>
          <w:tcPr>
            <w:tcW w:w="1043" w:type="pct"/>
            <w:tcBorders>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w:t>
            </w:r>
          </w:p>
        </w:tc>
        <w:tc>
          <w:tcPr>
            <w:tcW w:w="1040" w:type="pct"/>
            <w:tcBorders>
              <w:left w:val="nil"/>
              <w:bottom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44" w:type="pct"/>
            <w:tcBorders>
              <w:top w:val="nil"/>
              <w:bottom w:val="single" w:color="auto" w:sz="4" w:space="0"/>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变量</w:t>
            </w:r>
          </w:p>
        </w:tc>
        <w:tc>
          <w:tcPr>
            <w:tcW w:w="985" w:type="pct"/>
            <w:tcBorders>
              <w:top w:val="nil"/>
              <w:left w:val="nil"/>
              <w:bottom w:val="single" w:color="auto" w:sz="4" w:space="0"/>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alloc_manage</w:t>
            </w:r>
          </w:p>
        </w:tc>
        <w:tc>
          <w:tcPr>
            <w:tcW w:w="986" w:type="pct"/>
            <w:tcBorders>
              <w:top w:val="nil"/>
              <w:left w:val="nil"/>
              <w:bottom w:val="single" w:color="auto" w:sz="4" w:space="0"/>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alloc_manage</w:t>
            </w:r>
          </w:p>
        </w:tc>
        <w:tc>
          <w:tcPr>
            <w:tcW w:w="1043" w:type="pct"/>
            <w:tcBorders>
              <w:top w:val="nil"/>
              <w:left w:val="nil"/>
              <w:bottom w:val="single" w:color="auto" w:sz="4" w:space="0"/>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op</w:t>
            </w:r>
          </w:p>
        </w:tc>
        <w:tc>
          <w:tcPr>
            <w:tcW w:w="1040" w:type="pct"/>
            <w:tcBorders>
              <w:top w:val="nil"/>
              <w:left w:val="nil"/>
              <w:bottom w:val="single" w:color="auto" w:sz="4" w:space="0"/>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op</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44" w:type="pct"/>
            <w:tcBorders>
              <w:top w:val="single" w:color="auto" w:sz="4" w:space="0"/>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gravity</w:t>
            </w:r>
          </w:p>
        </w:tc>
        <w:tc>
          <w:tcPr>
            <w:tcW w:w="985"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0.913***</w:t>
            </w:r>
          </w:p>
        </w:tc>
        <w:tc>
          <w:tcPr>
            <w:tcW w:w="986" w:type="pct"/>
            <w:tcBorders>
              <w:top w:val="single" w:color="auto" w:sz="4" w:space="0"/>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0.958***</w:t>
            </w:r>
          </w:p>
        </w:tc>
        <w:tc>
          <w:tcPr>
            <w:tcW w:w="1043" w:type="pct"/>
            <w:tcBorders>
              <w:top w:val="single" w:color="auto" w:sz="4" w:space="0"/>
              <w:left w:val="nil"/>
              <w:bottom w:val="nil"/>
              <w:right w:val="nil"/>
            </w:tcBorders>
          </w:tcPr>
          <w:p>
            <w:pPr>
              <w:jc w:val="center"/>
              <w:rPr>
                <w:rFonts w:ascii="Times New Roman" w:hAnsi="Times New Roman" w:eastAsia="仿宋" w:cs="Times New Roman"/>
                <w:sz w:val="15"/>
                <w:szCs w:val="15"/>
              </w:rPr>
            </w:pPr>
          </w:p>
        </w:tc>
        <w:tc>
          <w:tcPr>
            <w:tcW w:w="1040" w:type="pct"/>
            <w:tcBorders>
              <w:top w:val="single" w:color="auto" w:sz="4" w:space="0"/>
              <w:left w:val="nil"/>
              <w:bottom w:val="nil"/>
            </w:tcBorders>
          </w:tcPr>
          <w:p>
            <w:pPr>
              <w:jc w:val="center"/>
              <w:rPr>
                <w:rFonts w:ascii="Times New Roman" w:hAnsi="Times New Roman" w:eastAsia="仿宋" w:cs="Times New Roman"/>
                <w:sz w:val="15"/>
                <w:szCs w:val="15"/>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44" w:type="pct"/>
            <w:tcBorders>
              <w:top w:val="nil"/>
              <w:bottom w:val="nil"/>
              <w:right w:val="nil"/>
            </w:tcBorders>
          </w:tcPr>
          <w:p>
            <w:pPr>
              <w:jc w:val="center"/>
              <w:rPr>
                <w:rFonts w:ascii="Times New Roman" w:hAnsi="Times New Roman" w:eastAsia="仿宋" w:cs="Times New Roman"/>
                <w:i/>
                <w:iCs/>
                <w:sz w:val="15"/>
                <w:szCs w:val="15"/>
              </w:rPr>
            </w:pPr>
          </w:p>
        </w:tc>
        <w:tc>
          <w:tcPr>
            <w:tcW w:w="98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(0.283)</w:t>
            </w:r>
          </w:p>
        </w:tc>
        <w:tc>
          <w:tcPr>
            <w:tcW w:w="986"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(0.283)</w:t>
            </w:r>
          </w:p>
        </w:tc>
        <w:tc>
          <w:tcPr>
            <w:tcW w:w="1043" w:type="pct"/>
            <w:tcBorders>
              <w:top w:val="nil"/>
              <w:left w:val="nil"/>
              <w:bottom w:val="nil"/>
              <w:right w:val="nil"/>
            </w:tcBorders>
          </w:tcPr>
          <w:p>
            <w:pPr>
              <w:jc w:val="center"/>
              <w:rPr>
                <w:rFonts w:ascii="Times New Roman" w:hAnsi="Times New Roman" w:eastAsia="仿宋" w:cs="Times New Roman"/>
                <w:sz w:val="15"/>
                <w:szCs w:val="15"/>
              </w:rPr>
            </w:pPr>
          </w:p>
        </w:tc>
        <w:tc>
          <w:tcPr>
            <w:tcW w:w="1040" w:type="pct"/>
            <w:tcBorders>
              <w:top w:val="nil"/>
              <w:left w:val="nil"/>
              <w:bottom w:val="nil"/>
            </w:tcBorders>
          </w:tcPr>
          <w:p>
            <w:pPr>
              <w:jc w:val="center"/>
              <w:rPr>
                <w:rFonts w:ascii="Times New Roman" w:hAnsi="Times New Roman" w:eastAsia="仿宋" w:cs="Times New Roman"/>
                <w:sz w:val="15"/>
                <w:szCs w:val="15"/>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44" w:type="pct"/>
            <w:tcBorders>
              <w:top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i/>
                <w:iCs/>
                <w:sz w:val="15"/>
                <w:szCs w:val="15"/>
              </w:rPr>
              <w:t>alloc_manage</w:t>
            </w:r>
          </w:p>
        </w:tc>
        <w:tc>
          <w:tcPr>
            <w:tcW w:w="985" w:type="pct"/>
            <w:tcBorders>
              <w:top w:val="nil"/>
              <w:left w:val="nil"/>
              <w:bottom w:val="nil"/>
              <w:right w:val="nil"/>
            </w:tcBorders>
          </w:tcPr>
          <w:p>
            <w:pPr>
              <w:jc w:val="center"/>
              <w:rPr>
                <w:rFonts w:ascii="Times New Roman" w:hAnsi="Times New Roman" w:eastAsia="仿宋" w:cs="Times New Roman"/>
                <w:sz w:val="15"/>
                <w:szCs w:val="15"/>
              </w:rPr>
            </w:pPr>
          </w:p>
        </w:tc>
        <w:tc>
          <w:tcPr>
            <w:tcW w:w="986" w:type="pct"/>
            <w:tcBorders>
              <w:top w:val="nil"/>
              <w:left w:val="nil"/>
              <w:bottom w:val="nil"/>
              <w:right w:val="nil"/>
            </w:tcBorders>
          </w:tcPr>
          <w:p>
            <w:pPr>
              <w:jc w:val="center"/>
              <w:rPr>
                <w:rFonts w:ascii="Times New Roman" w:hAnsi="Times New Roman" w:eastAsia="仿宋" w:cs="Times New Roman"/>
                <w:sz w:val="15"/>
                <w:szCs w:val="15"/>
              </w:rPr>
            </w:pPr>
          </w:p>
        </w:tc>
        <w:tc>
          <w:tcPr>
            <w:tcW w:w="104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-0.01</w:t>
            </w:r>
            <w:r>
              <w:rPr>
                <w:rFonts w:hint="eastAsia" w:ascii="Times New Roman" w:hAnsi="Times New Roman" w:eastAsia="仿宋" w:cs="Times New Roman"/>
                <w:sz w:val="15"/>
                <w:szCs w:val="15"/>
              </w:rPr>
              <w:t>0</w:t>
            </w:r>
            <w:r>
              <w:rPr>
                <w:rFonts w:ascii="Times New Roman" w:hAnsi="Times New Roman" w:eastAsia="仿宋" w:cs="Times New Roman"/>
                <w:sz w:val="15"/>
                <w:szCs w:val="15"/>
              </w:rPr>
              <w:t>**</w:t>
            </w:r>
          </w:p>
        </w:tc>
        <w:tc>
          <w:tcPr>
            <w:tcW w:w="1040" w:type="pct"/>
            <w:tcBorders>
              <w:top w:val="nil"/>
              <w:left w:val="nil"/>
              <w:bottom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w:t>
            </w:r>
            <w:r>
              <w:rPr>
                <w:rFonts w:hint="eastAsia" w:ascii="Times New Roman" w:hAnsi="Times New Roman" w:eastAsia="仿宋" w:cs="Times New Roman"/>
                <w:sz w:val="15"/>
                <w:szCs w:val="15"/>
              </w:rPr>
              <w:t>6</w:t>
            </w:r>
            <w:r>
              <w:rPr>
                <w:rFonts w:ascii="Times New Roman" w:hAnsi="Times New Roman" w:eastAsia="仿宋" w:cs="Times New Roman"/>
                <w:sz w:val="15"/>
                <w:szCs w:val="15"/>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44" w:type="pct"/>
            <w:tcBorders>
              <w:top w:val="nil"/>
              <w:bottom w:val="nil"/>
              <w:right w:val="nil"/>
            </w:tcBorders>
          </w:tcPr>
          <w:p>
            <w:pPr>
              <w:jc w:val="center"/>
              <w:rPr>
                <w:rFonts w:ascii="Times New Roman" w:hAnsi="Times New Roman" w:eastAsia="仿宋" w:cs="Times New Roman"/>
                <w:i/>
                <w:iCs/>
                <w:sz w:val="15"/>
                <w:szCs w:val="15"/>
              </w:rPr>
            </w:pPr>
          </w:p>
        </w:tc>
        <w:tc>
          <w:tcPr>
            <w:tcW w:w="985" w:type="pct"/>
            <w:tcBorders>
              <w:top w:val="nil"/>
              <w:left w:val="nil"/>
              <w:bottom w:val="nil"/>
              <w:right w:val="nil"/>
            </w:tcBorders>
          </w:tcPr>
          <w:p>
            <w:pPr>
              <w:jc w:val="center"/>
              <w:rPr>
                <w:rFonts w:ascii="Times New Roman" w:hAnsi="Times New Roman" w:eastAsia="仿宋" w:cs="Times New Roman"/>
                <w:sz w:val="15"/>
                <w:szCs w:val="15"/>
              </w:rPr>
            </w:pPr>
          </w:p>
        </w:tc>
        <w:tc>
          <w:tcPr>
            <w:tcW w:w="986" w:type="pct"/>
            <w:tcBorders>
              <w:top w:val="nil"/>
              <w:left w:val="nil"/>
              <w:bottom w:val="nil"/>
              <w:right w:val="nil"/>
            </w:tcBorders>
          </w:tcPr>
          <w:p>
            <w:pPr>
              <w:jc w:val="center"/>
              <w:rPr>
                <w:rFonts w:ascii="Times New Roman" w:hAnsi="Times New Roman" w:eastAsia="仿宋" w:cs="Times New Roman"/>
                <w:sz w:val="15"/>
                <w:szCs w:val="15"/>
              </w:rPr>
            </w:pPr>
          </w:p>
        </w:tc>
        <w:tc>
          <w:tcPr>
            <w:tcW w:w="104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w:t>
            </w:r>
            <w:r>
              <w:rPr>
                <w:rFonts w:hint="eastAsia" w:ascii="Times New Roman" w:hAnsi="Times New Roman" w:eastAsia="仿宋" w:cs="Times New Roman"/>
                <w:sz w:val="15"/>
                <w:szCs w:val="15"/>
              </w:rPr>
              <w:t>4</w:t>
            </w:r>
            <w:r>
              <w:rPr>
                <w:rFonts w:ascii="Times New Roman" w:hAnsi="Times New Roman" w:eastAsia="仿宋" w:cs="Times New Roman"/>
                <w:sz w:val="15"/>
                <w:szCs w:val="15"/>
              </w:rPr>
              <w:t>)</w:t>
            </w:r>
          </w:p>
        </w:tc>
        <w:tc>
          <w:tcPr>
            <w:tcW w:w="1040" w:type="pct"/>
            <w:tcBorders>
              <w:top w:val="nil"/>
              <w:left w:val="nil"/>
              <w:bottom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(0.00</w:t>
            </w:r>
            <w:r>
              <w:rPr>
                <w:rFonts w:hint="eastAsia" w:ascii="Times New Roman" w:hAnsi="Times New Roman" w:eastAsia="仿宋" w:cs="Times New Roman"/>
                <w:sz w:val="15"/>
                <w:szCs w:val="15"/>
              </w:rPr>
              <w:t>2</w:t>
            </w:r>
            <w:r>
              <w:rPr>
                <w:rFonts w:ascii="Times New Roman" w:hAnsi="Times New Roman" w:eastAsia="仿宋" w:cs="Times New Roman"/>
                <w:sz w:val="15"/>
                <w:szCs w:val="15"/>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44" w:type="pct"/>
            <w:tcBorders>
              <w:top w:val="nil"/>
              <w:bottom w:val="nil"/>
              <w:right w:val="nil"/>
            </w:tcBorders>
          </w:tcPr>
          <w:p>
            <w:pPr>
              <w:jc w:val="center"/>
              <w:rPr>
                <w:rFonts w:ascii="Times New Roman" w:hAnsi="Times New Roman" w:eastAsia="仿宋" w:cs="Times New Roman"/>
                <w:i/>
                <w:iCs/>
                <w:sz w:val="15"/>
                <w:szCs w:val="15"/>
              </w:rPr>
            </w:pPr>
            <w:r>
              <w:rPr>
                <w:rFonts w:ascii="Times New Roman" w:hAnsi="Times New Roman" w:eastAsia="仿宋" w:cs="Times New Roman"/>
                <w:sz w:val="15"/>
                <w:szCs w:val="15"/>
              </w:rPr>
              <w:t>控制变量</w:t>
            </w:r>
          </w:p>
        </w:tc>
        <w:tc>
          <w:tcPr>
            <w:tcW w:w="98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986"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04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040" w:type="pct"/>
            <w:tcBorders>
              <w:top w:val="nil"/>
              <w:left w:val="nil"/>
              <w:bottom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44" w:type="pct"/>
            <w:tcBorders>
              <w:top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企业固定效应</w:t>
            </w:r>
          </w:p>
        </w:tc>
        <w:tc>
          <w:tcPr>
            <w:tcW w:w="98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986"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04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040" w:type="pct"/>
            <w:tcBorders>
              <w:top w:val="nil"/>
              <w:left w:val="nil"/>
              <w:bottom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44" w:type="pct"/>
            <w:tcBorders>
              <w:top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年份固定效应</w:t>
            </w:r>
          </w:p>
        </w:tc>
        <w:tc>
          <w:tcPr>
            <w:tcW w:w="985"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986"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04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c>
          <w:tcPr>
            <w:tcW w:w="1040" w:type="pct"/>
            <w:tcBorders>
              <w:top w:val="nil"/>
              <w:left w:val="nil"/>
              <w:bottom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44" w:type="pct"/>
            <w:tcBorders>
              <w:top w:val="nil"/>
              <w:bottom w:val="nil"/>
              <w:right w:val="nil"/>
            </w:tcBorders>
          </w:tcPr>
          <w:p>
            <w:pPr>
              <w:jc w:val="center"/>
              <w:rPr>
                <w:rFonts w:ascii="Times New Roman" w:hAnsi="Times New Roman" w:eastAsia="仿宋" w:cs="Times New Roman"/>
                <w:sz w:val="15"/>
                <w:szCs w:val="15"/>
                <w:vertAlign w:val="superscript"/>
              </w:rPr>
            </w:pPr>
            <w:r>
              <w:rPr>
                <w:rFonts w:ascii="Times New Roman" w:hAnsi="Times New Roman" w:eastAsia="仿宋" w:cs="Times New Roman"/>
                <w:sz w:val="15"/>
                <w:szCs w:val="15"/>
              </w:rPr>
              <w:t>R</w:t>
            </w:r>
            <w:r>
              <w:rPr>
                <w:rFonts w:ascii="Times New Roman" w:hAnsi="Times New Roman" w:eastAsia="仿宋" w:cs="Times New Roman"/>
                <w:sz w:val="15"/>
                <w:szCs w:val="15"/>
                <w:vertAlign w:val="superscript"/>
              </w:rPr>
              <w:t>2</w:t>
            </w:r>
          </w:p>
        </w:tc>
        <w:tc>
          <w:tcPr>
            <w:tcW w:w="1679"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0.490</w:t>
            </w:r>
          </w:p>
        </w:tc>
        <w:tc>
          <w:tcPr>
            <w:tcW w:w="1681" w:type="dxa"/>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0.510</w:t>
            </w:r>
          </w:p>
        </w:tc>
        <w:tc>
          <w:tcPr>
            <w:tcW w:w="1043" w:type="pct"/>
            <w:tcBorders>
              <w:top w:val="nil"/>
              <w:left w:val="nil"/>
              <w:bottom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0.570</w:t>
            </w:r>
          </w:p>
        </w:tc>
        <w:tc>
          <w:tcPr>
            <w:tcW w:w="1040" w:type="pct"/>
            <w:tcBorders>
              <w:top w:val="nil"/>
              <w:left w:val="nil"/>
              <w:bottom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0.663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44" w:type="pct"/>
            <w:tcBorders>
              <w:top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N</w:t>
            </w:r>
          </w:p>
        </w:tc>
        <w:tc>
          <w:tcPr>
            <w:tcW w:w="1679" w:type="dxa"/>
            <w:tcBorders>
              <w:top w:val="nil"/>
              <w:left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556</w:t>
            </w:r>
          </w:p>
        </w:tc>
        <w:tc>
          <w:tcPr>
            <w:tcW w:w="1681" w:type="dxa"/>
            <w:tcBorders>
              <w:top w:val="nil"/>
              <w:left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556</w:t>
            </w:r>
          </w:p>
        </w:tc>
        <w:tc>
          <w:tcPr>
            <w:tcW w:w="1043" w:type="pct"/>
            <w:tcBorders>
              <w:top w:val="nil"/>
              <w:left w:val="nil"/>
              <w:righ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33705</w:t>
            </w:r>
          </w:p>
        </w:tc>
        <w:tc>
          <w:tcPr>
            <w:tcW w:w="1040" w:type="pct"/>
            <w:tcBorders>
              <w:top w:val="nil"/>
              <w:left w:val="nil"/>
            </w:tcBorders>
          </w:tcPr>
          <w:p>
            <w:pPr>
              <w:jc w:val="center"/>
              <w:rPr>
                <w:rFonts w:ascii="Times New Roman" w:hAnsi="Times New Roman" w:eastAsia="仿宋" w:cs="Times New Roman"/>
                <w:sz w:val="15"/>
                <w:szCs w:val="15"/>
              </w:rPr>
            </w:pPr>
            <w:r>
              <w:rPr>
                <w:rFonts w:ascii="Times New Roman" w:hAnsi="Times New Roman" w:eastAsia="仿宋" w:cs="Times New Roman"/>
                <w:sz w:val="15"/>
                <w:szCs w:val="15"/>
              </w:rPr>
              <w:t>33576</w:t>
            </w:r>
          </w:p>
        </w:tc>
      </w:tr>
    </w:tbl>
    <w:p>
      <w:pPr>
        <w:widowControl/>
        <w:jc w:val="left"/>
        <w:rPr>
          <w:rFonts w:ascii="Times New Roman" w:hAnsi="Times New Roman" w:eastAsia="仿宋" w:cs="Times New Roman"/>
          <w:szCs w:val="21"/>
        </w:rPr>
      </w:pPr>
    </w:p>
    <w:p>
      <w:pPr>
        <w:jc w:val="center"/>
        <w:rPr>
          <w:rFonts w:ascii="楷体" w:hAnsi="楷体" w:eastAsia="楷体"/>
          <w:sz w:val="28"/>
          <w:szCs w:val="32"/>
        </w:rPr>
      </w:pPr>
      <w:r>
        <w:br w:type="page"/>
      </w:r>
      <w:r>
        <w:rPr>
          <w:rFonts w:hint="eastAsia" w:ascii="楷体" w:hAnsi="楷体" w:eastAsia="楷体"/>
          <w:sz w:val="28"/>
          <w:szCs w:val="32"/>
        </w:rPr>
        <w:t>参考文献</w:t>
      </w:r>
    </w:p>
    <w:p>
      <w:pPr>
        <w:widowControl/>
        <w:numPr>
          <w:ilvl w:val="0"/>
          <w:numId w:val="1"/>
        </w:numPr>
        <w:jc w:val="left"/>
        <w:rPr>
          <w:rFonts w:ascii="Times New Roman" w:hAnsi="Times New Roman" w:eastAsia="仿宋"/>
          <w:sz w:val="18"/>
          <w:szCs w:val="18"/>
        </w:rPr>
      </w:pPr>
      <w:r>
        <w:rPr>
          <w:rFonts w:ascii="Times New Roman" w:hAnsi="Times New Roman" w:eastAsia="仿宋"/>
          <w:sz w:val="18"/>
          <w:szCs w:val="18"/>
        </w:rPr>
        <w:t>Acemoglu，D.</w:t>
      </w:r>
      <w:r>
        <w:rPr>
          <w:rFonts w:hint="eastAsia" w:ascii="Times New Roman" w:hAnsi="Times New Roman" w:eastAsia="仿宋"/>
          <w:sz w:val="18"/>
          <w:szCs w:val="18"/>
        </w:rPr>
        <w:t>，</w:t>
      </w:r>
      <w:r>
        <w:rPr>
          <w:rFonts w:ascii="Times New Roman" w:hAnsi="Times New Roman" w:eastAsia="仿宋"/>
          <w:sz w:val="18"/>
          <w:szCs w:val="18"/>
        </w:rPr>
        <w:t xml:space="preserve"> “Reward Structures and the Allocation of Talent”，</w:t>
      </w:r>
      <w:r>
        <w:rPr>
          <w:rFonts w:ascii="Times New Roman" w:hAnsi="Times New Roman" w:eastAsia="仿宋"/>
          <w:i/>
          <w:iCs/>
          <w:sz w:val="18"/>
          <w:szCs w:val="18"/>
        </w:rPr>
        <w:t>European Economic Review</w:t>
      </w:r>
      <w:r>
        <w:rPr>
          <w:rFonts w:ascii="Times New Roman" w:hAnsi="Times New Roman" w:eastAsia="仿宋"/>
          <w:sz w:val="18"/>
          <w:szCs w:val="18"/>
        </w:rPr>
        <w:t>，1995，39(1)，17-33.</w:t>
      </w:r>
    </w:p>
    <w:p>
      <w:pPr>
        <w:widowControl/>
        <w:numPr>
          <w:ilvl w:val="0"/>
          <w:numId w:val="1"/>
        </w:numPr>
        <w:jc w:val="left"/>
        <w:rPr>
          <w:rFonts w:ascii="Times New Roman" w:hAnsi="Times New Roman" w:eastAsia="仿宋"/>
          <w:sz w:val="18"/>
          <w:szCs w:val="18"/>
        </w:rPr>
      </w:pPr>
      <w:r>
        <w:rPr>
          <w:rFonts w:ascii="Times New Roman" w:hAnsi="Times New Roman" w:eastAsia="仿宋"/>
          <w:sz w:val="18"/>
          <w:szCs w:val="18"/>
        </w:rPr>
        <w:t>Ackerberg</w:t>
      </w:r>
      <w:r>
        <w:rPr>
          <w:rFonts w:hint="eastAsia" w:ascii="Times New Roman" w:hAnsi="Times New Roman" w:eastAsia="仿宋"/>
          <w:sz w:val="18"/>
          <w:szCs w:val="18"/>
        </w:rPr>
        <w:t>，</w:t>
      </w:r>
      <w:r>
        <w:rPr>
          <w:rFonts w:ascii="Times New Roman" w:hAnsi="Times New Roman" w:eastAsia="仿宋"/>
          <w:sz w:val="18"/>
          <w:szCs w:val="18"/>
        </w:rPr>
        <w:t xml:space="preserve"> D., K.</w:t>
      </w:r>
      <w:r>
        <w:rPr>
          <w:rFonts w:hint="eastAsia" w:ascii="Times New Roman" w:hAnsi="Times New Roman" w:eastAsia="仿宋"/>
          <w:sz w:val="18"/>
          <w:szCs w:val="18"/>
        </w:rPr>
        <w:t xml:space="preserve"> </w:t>
      </w:r>
      <w:r>
        <w:rPr>
          <w:rFonts w:ascii="Times New Roman" w:hAnsi="Times New Roman" w:eastAsia="仿宋"/>
          <w:sz w:val="18"/>
          <w:szCs w:val="18"/>
        </w:rPr>
        <w:t>Caves，</w:t>
      </w:r>
      <w:r>
        <w:rPr>
          <w:rFonts w:hint="eastAsia" w:ascii="Times New Roman" w:hAnsi="Times New Roman" w:eastAsia="仿宋"/>
          <w:sz w:val="18"/>
          <w:szCs w:val="18"/>
        </w:rPr>
        <w:t xml:space="preserve">and </w:t>
      </w:r>
      <w:r>
        <w:rPr>
          <w:rFonts w:ascii="Times New Roman" w:hAnsi="Times New Roman" w:eastAsia="仿宋"/>
          <w:sz w:val="18"/>
          <w:szCs w:val="18"/>
        </w:rPr>
        <w:t xml:space="preserve">G. Frazer，“Identification Properties </w:t>
      </w:r>
      <w:r>
        <w:rPr>
          <w:rFonts w:hint="eastAsia" w:ascii="Times New Roman" w:hAnsi="Times New Roman" w:eastAsia="仿宋"/>
          <w:sz w:val="18"/>
          <w:szCs w:val="18"/>
        </w:rPr>
        <w:t>o</w:t>
      </w:r>
      <w:r>
        <w:rPr>
          <w:rFonts w:ascii="Times New Roman" w:hAnsi="Times New Roman" w:eastAsia="仿宋"/>
          <w:sz w:val="18"/>
          <w:szCs w:val="18"/>
        </w:rPr>
        <w:t>f Recent Production Function Estimators”，</w:t>
      </w:r>
      <w:r>
        <w:rPr>
          <w:rFonts w:ascii="Times New Roman" w:hAnsi="Times New Roman" w:eastAsia="仿宋"/>
          <w:i/>
          <w:iCs/>
          <w:sz w:val="18"/>
          <w:szCs w:val="18"/>
        </w:rPr>
        <w:t>Econometrica</w:t>
      </w:r>
      <w:r>
        <w:rPr>
          <w:rFonts w:hint="eastAsia" w:ascii="Times New Roman" w:hAnsi="Times New Roman" w:eastAsia="仿宋"/>
          <w:sz w:val="18"/>
          <w:szCs w:val="18"/>
        </w:rPr>
        <w:t>，</w:t>
      </w:r>
      <w:r>
        <w:rPr>
          <w:rFonts w:ascii="Times New Roman" w:hAnsi="Times New Roman" w:eastAsia="仿宋"/>
          <w:sz w:val="18"/>
          <w:szCs w:val="18"/>
        </w:rPr>
        <w:t xml:space="preserve"> 2015，83(6)，2411-2451.</w:t>
      </w:r>
    </w:p>
    <w:p>
      <w:pPr>
        <w:widowControl/>
        <w:numPr>
          <w:ilvl w:val="0"/>
          <w:numId w:val="1"/>
        </w:numPr>
        <w:jc w:val="left"/>
        <w:rPr>
          <w:rFonts w:ascii="Times New Roman" w:hAnsi="Times New Roman" w:eastAsia="仿宋"/>
          <w:sz w:val="18"/>
          <w:szCs w:val="18"/>
        </w:rPr>
      </w:pPr>
      <w:r>
        <w:rPr>
          <w:rFonts w:ascii="Times New Roman" w:hAnsi="Times New Roman" w:eastAsia="仿宋"/>
          <w:sz w:val="18"/>
          <w:szCs w:val="18"/>
        </w:rPr>
        <w:t>Alexeev, M.，T.</w:t>
      </w:r>
      <w:r>
        <w:rPr>
          <w:rFonts w:hint="eastAsia" w:ascii="Times New Roman" w:hAnsi="Times New Roman" w:eastAsia="仿宋"/>
          <w:sz w:val="18"/>
          <w:szCs w:val="18"/>
        </w:rPr>
        <w:t xml:space="preserve"> </w:t>
      </w:r>
      <w:r>
        <w:rPr>
          <w:rFonts w:ascii="Times New Roman" w:hAnsi="Times New Roman" w:eastAsia="仿宋"/>
          <w:sz w:val="18"/>
          <w:szCs w:val="18"/>
        </w:rPr>
        <w:t>Natkhov，</w:t>
      </w:r>
      <w:r>
        <w:rPr>
          <w:rFonts w:hint="eastAsia" w:ascii="Times New Roman" w:hAnsi="Times New Roman" w:eastAsia="仿宋"/>
          <w:sz w:val="18"/>
          <w:szCs w:val="18"/>
        </w:rPr>
        <w:t xml:space="preserve">and </w:t>
      </w:r>
      <w:r>
        <w:rPr>
          <w:rFonts w:ascii="Times New Roman" w:hAnsi="Times New Roman" w:eastAsia="仿宋"/>
          <w:sz w:val="18"/>
          <w:szCs w:val="18"/>
        </w:rPr>
        <w:t>L.</w:t>
      </w:r>
      <w:r>
        <w:rPr>
          <w:rFonts w:hint="eastAsia" w:ascii="Times New Roman" w:hAnsi="Times New Roman" w:eastAsia="仿宋"/>
          <w:sz w:val="18"/>
          <w:szCs w:val="18"/>
        </w:rPr>
        <w:t xml:space="preserve"> </w:t>
      </w:r>
      <w:r>
        <w:rPr>
          <w:rFonts w:ascii="Times New Roman" w:hAnsi="Times New Roman" w:eastAsia="仿宋"/>
          <w:sz w:val="18"/>
          <w:szCs w:val="18"/>
        </w:rPr>
        <w:t>Polishchuk，“Institutions and the Allocation of Talent: Evidence from Russian Regions”，SSRN Electronic Journal，2019.</w:t>
      </w:r>
    </w:p>
    <w:p>
      <w:pPr>
        <w:widowControl/>
        <w:numPr>
          <w:ilvl w:val="0"/>
          <w:numId w:val="1"/>
        </w:numPr>
        <w:jc w:val="left"/>
        <w:rPr>
          <w:rFonts w:ascii="Times New Roman" w:hAnsi="Times New Roman" w:eastAsia="仿宋"/>
          <w:sz w:val="18"/>
          <w:szCs w:val="18"/>
        </w:rPr>
      </w:pPr>
      <w:r>
        <w:rPr>
          <w:rFonts w:ascii="Times New Roman" w:hAnsi="Times New Roman" w:eastAsia="仿宋"/>
          <w:sz w:val="18"/>
          <w:szCs w:val="18"/>
        </w:rPr>
        <w:t>Brandt，L.，J. V.</w:t>
      </w:r>
      <w:r>
        <w:rPr>
          <w:rFonts w:hint="eastAsia" w:ascii="Times New Roman" w:hAnsi="Times New Roman" w:eastAsia="仿宋"/>
          <w:sz w:val="18"/>
          <w:szCs w:val="18"/>
        </w:rPr>
        <w:t xml:space="preserve"> </w:t>
      </w:r>
      <w:r>
        <w:rPr>
          <w:rFonts w:ascii="Times New Roman" w:hAnsi="Times New Roman" w:eastAsia="仿宋"/>
          <w:sz w:val="18"/>
          <w:szCs w:val="18"/>
        </w:rPr>
        <w:t>Biesebroeck，</w:t>
      </w:r>
      <w:r>
        <w:rPr>
          <w:rFonts w:hint="eastAsia" w:ascii="Times New Roman" w:hAnsi="Times New Roman" w:eastAsia="仿宋"/>
          <w:sz w:val="18"/>
          <w:szCs w:val="18"/>
        </w:rPr>
        <w:t>a</w:t>
      </w:r>
      <w:r>
        <w:rPr>
          <w:rFonts w:ascii="Times New Roman" w:hAnsi="Times New Roman" w:eastAsia="仿宋"/>
          <w:sz w:val="18"/>
          <w:szCs w:val="18"/>
        </w:rPr>
        <w:t>nd Y. Zhang，“Creative Accounting or Creative Destruction？Firm-Level Productivity Growth in Chinese Manufacturing”，</w:t>
      </w:r>
      <w:r>
        <w:rPr>
          <w:rFonts w:ascii="Times New Roman" w:hAnsi="Times New Roman" w:eastAsia="仿宋"/>
          <w:i/>
          <w:iCs/>
          <w:sz w:val="18"/>
          <w:szCs w:val="18"/>
        </w:rPr>
        <w:t>Journal of Development Economics</w:t>
      </w:r>
      <w:r>
        <w:rPr>
          <w:rFonts w:ascii="Times New Roman" w:hAnsi="Times New Roman" w:eastAsia="仿宋"/>
          <w:sz w:val="18"/>
          <w:szCs w:val="18"/>
        </w:rPr>
        <w:t>，2012，97(2)，339-351.</w:t>
      </w:r>
    </w:p>
    <w:p>
      <w:pPr>
        <w:widowControl/>
        <w:numPr>
          <w:ilvl w:val="0"/>
          <w:numId w:val="1"/>
        </w:numPr>
        <w:jc w:val="left"/>
        <w:rPr>
          <w:rFonts w:ascii="Times New Roman" w:hAnsi="Times New Roman" w:eastAsia="仿宋"/>
          <w:sz w:val="18"/>
          <w:szCs w:val="18"/>
        </w:rPr>
      </w:pPr>
      <w:r>
        <w:rPr>
          <w:rFonts w:ascii="Times New Roman" w:hAnsi="Times New Roman" w:eastAsia="仿宋"/>
          <w:sz w:val="18"/>
          <w:szCs w:val="18"/>
        </w:rPr>
        <w:t>李世刚、尹恒</w:t>
      </w:r>
      <w:r>
        <w:rPr>
          <w:rFonts w:hint="eastAsia" w:ascii="Times New Roman" w:hAnsi="Times New Roman" w:eastAsia="仿宋"/>
          <w:sz w:val="18"/>
          <w:szCs w:val="18"/>
        </w:rPr>
        <w:t>，“</w:t>
      </w:r>
      <w:r>
        <w:rPr>
          <w:rFonts w:ascii="Times New Roman" w:hAnsi="Times New Roman" w:eastAsia="仿宋"/>
          <w:sz w:val="18"/>
          <w:szCs w:val="18"/>
        </w:rPr>
        <w:t>政府-企业间人才配置与经济增长——基于中国地级市数据的经验研究</w:t>
      </w:r>
      <w:r>
        <w:rPr>
          <w:rFonts w:hint="eastAsia" w:ascii="Times New Roman" w:hAnsi="Times New Roman" w:eastAsia="仿宋"/>
          <w:sz w:val="18"/>
          <w:szCs w:val="18"/>
        </w:rPr>
        <w:t>”</w:t>
      </w:r>
      <w:r>
        <w:rPr>
          <w:rFonts w:ascii="Times New Roman" w:hAnsi="Times New Roman" w:eastAsia="仿宋"/>
          <w:sz w:val="18"/>
          <w:szCs w:val="18"/>
        </w:rPr>
        <w:t>，《经济研究》</w:t>
      </w:r>
      <w:r>
        <w:rPr>
          <w:rFonts w:hint="eastAsia" w:ascii="Times New Roman" w:hAnsi="Times New Roman" w:eastAsia="仿宋"/>
          <w:sz w:val="18"/>
          <w:szCs w:val="18"/>
        </w:rPr>
        <w:t>，2017年</w:t>
      </w:r>
      <w:r>
        <w:rPr>
          <w:rFonts w:ascii="Times New Roman" w:hAnsi="Times New Roman" w:eastAsia="仿宋"/>
          <w:sz w:val="18"/>
          <w:szCs w:val="18"/>
        </w:rPr>
        <w:t>第4期</w:t>
      </w:r>
      <w:r>
        <w:rPr>
          <w:rFonts w:hint="eastAsia" w:ascii="Times New Roman" w:hAnsi="Times New Roman" w:eastAsia="仿宋"/>
          <w:sz w:val="18"/>
          <w:szCs w:val="18"/>
        </w:rPr>
        <w:t>，第78-91页</w:t>
      </w:r>
      <w:r>
        <w:rPr>
          <w:rFonts w:ascii="Times New Roman" w:hAnsi="Times New Roman" w:eastAsia="仿宋"/>
          <w:sz w:val="18"/>
          <w:szCs w:val="18"/>
        </w:rPr>
        <w:t>。</w:t>
      </w:r>
    </w:p>
    <w:p>
      <w:pPr>
        <w:widowControl/>
        <w:numPr>
          <w:ilvl w:val="0"/>
          <w:numId w:val="1"/>
        </w:numPr>
        <w:jc w:val="left"/>
        <w:rPr>
          <w:rFonts w:ascii="Times New Roman" w:hAnsi="Times New Roman" w:eastAsia="仿宋"/>
          <w:sz w:val="18"/>
          <w:szCs w:val="18"/>
        </w:rPr>
      </w:pPr>
      <w:r>
        <w:rPr>
          <w:rFonts w:ascii="Times New Roman" w:hAnsi="Times New Roman" w:eastAsia="仿宋"/>
          <w:sz w:val="18"/>
          <w:szCs w:val="18"/>
        </w:rPr>
        <w:t xml:space="preserve"> Greenstone，M</w:t>
      </w:r>
      <w:r>
        <w:rPr>
          <w:rFonts w:hint="eastAsia" w:ascii="Times New Roman" w:hAnsi="Times New Roman" w:eastAsia="仿宋"/>
          <w:sz w:val="18"/>
          <w:szCs w:val="18"/>
        </w:rPr>
        <w:t xml:space="preserve">., and </w:t>
      </w:r>
      <w:r>
        <w:rPr>
          <w:rFonts w:ascii="Times New Roman" w:hAnsi="Times New Roman" w:eastAsia="仿宋"/>
          <w:sz w:val="18"/>
          <w:szCs w:val="18"/>
        </w:rPr>
        <w:t>R. Hanna</w:t>
      </w:r>
      <w:r>
        <w:rPr>
          <w:rFonts w:hint="eastAsia" w:ascii="Times New Roman" w:hAnsi="Times New Roman" w:eastAsia="仿宋"/>
          <w:sz w:val="18"/>
          <w:szCs w:val="18"/>
        </w:rPr>
        <w:t>,</w:t>
      </w:r>
      <w:r>
        <w:rPr>
          <w:rFonts w:ascii="Times New Roman" w:hAnsi="Times New Roman" w:eastAsia="仿宋"/>
          <w:sz w:val="18"/>
          <w:szCs w:val="18"/>
        </w:rPr>
        <w:t xml:space="preserve"> “Environmental Regulations, Air and Water Pollution,and Infant Mortality in India”，</w:t>
      </w:r>
      <w:r>
        <w:rPr>
          <w:rFonts w:ascii="Times New Roman" w:hAnsi="Times New Roman" w:eastAsia="仿宋"/>
          <w:i/>
          <w:iCs/>
          <w:sz w:val="18"/>
          <w:szCs w:val="18"/>
        </w:rPr>
        <w:t>American Economic Review</w:t>
      </w:r>
      <w:r>
        <w:rPr>
          <w:rFonts w:ascii="Times New Roman" w:hAnsi="Times New Roman" w:eastAsia="仿宋"/>
          <w:sz w:val="18"/>
          <w:szCs w:val="18"/>
        </w:rPr>
        <w:t>，2014，104(10)，3038-3072.</w:t>
      </w:r>
    </w:p>
    <w:p>
      <w:pPr>
        <w:widowControl/>
        <w:numPr>
          <w:ilvl w:val="0"/>
          <w:numId w:val="1"/>
        </w:numPr>
        <w:jc w:val="left"/>
        <w:rPr>
          <w:rFonts w:ascii="Times New Roman" w:hAnsi="Times New Roman" w:eastAsia="仿宋"/>
          <w:sz w:val="18"/>
          <w:szCs w:val="18"/>
        </w:rPr>
      </w:pPr>
      <w:r>
        <w:rPr>
          <w:rFonts w:ascii="Times New Roman" w:hAnsi="Times New Roman" w:eastAsia="仿宋"/>
          <w:sz w:val="18"/>
          <w:szCs w:val="18"/>
        </w:rPr>
        <w:t>Murphy，K.，A.</w:t>
      </w:r>
      <w:r>
        <w:rPr>
          <w:rFonts w:hint="eastAsia" w:ascii="Times New Roman" w:hAnsi="Times New Roman" w:eastAsia="仿宋"/>
          <w:sz w:val="18"/>
          <w:szCs w:val="18"/>
        </w:rPr>
        <w:t xml:space="preserve"> </w:t>
      </w:r>
      <w:r>
        <w:rPr>
          <w:rFonts w:ascii="Times New Roman" w:hAnsi="Times New Roman" w:eastAsia="仿宋"/>
          <w:sz w:val="18"/>
          <w:szCs w:val="18"/>
        </w:rPr>
        <w:t>Shleifer，and R.</w:t>
      </w:r>
      <w:r>
        <w:rPr>
          <w:rFonts w:hint="eastAsia" w:ascii="Times New Roman" w:hAnsi="Times New Roman" w:eastAsia="仿宋"/>
          <w:sz w:val="18"/>
          <w:szCs w:val="18"/>
        </w:rPr>
        <w:t xml:space="preserve"> </w:t>
      </w:r>
      <w:r>
        <w:rPr>
          <w:rFonts w:ascii="Times New Roman" w:hAnsi="Times New Roman" w:eastAsia="仿宋"/>
          <w:sz w:val="18"/>
          <w:szCs w:val="18"/>
        </w:rPr>
        <w:t>Vishny， “The Allocation of Talent: Implications for Growth”，</w:t>
      </w:r>
      <w:r>
        <w:rPr>
          <w:rFonts w:ascii="Times New Roman" w:hAnsi="Times New Roman" w:eastAsia="仿宋"/>
          <w:i/>
          <w:iCs/>
          <w:sz w:val="18"/>
          <w:szCs w:val="18"/>
        </w:rPr>
        <w:t>The Quarterly Journal of Economics</w:t>
      </w:r>
      <w:r>
        <w:rPr>
          <w:rFonts w:ascii="Times New Roman" w:hAnsi="Times New Roman" w:eastAsia="仿宋"/>
          <w:sz w:val="18"/>
          <w:szCs w:val="18"/>
        </w:rPr>
        <w:t>，1991，106(2)，503-530.</w:t>
      </w:r>
    </w:p>
    <w:p>
      <w:pPr>
        <w:widowControl/>
        <w:numPr>
          <w:ilvl w:val="0"/>
          <w:numId w:val="1"/>
        </w:numPr>
        <w:rPr>
          <w:rFonts w:ascii="Times New Roman" w:hAnsi="Times New Roman" w:eastAsia="仿宋"/>
          <w:sz w:val="18"/>
          <w:szCs w:val="18"/>
        </w:rPr>
      </w:pPr>
      <w:r>
        <w:rPr>
          <w:rFonts w:ascii="Times New Roman" w:hAnsi="Times New Roman" w:eastAsia="仿宋"/>
          <w:sz w:val="18"/>
          <w:szCs w:val="18"/>
        </w:rPr>
        <w:t>Olley，S.，</w:t>
      </w:r>
      <w:r>
        <w:rPr>
          <w:rFonts w:hint="eastAsia" w:ascii="Times New Roman" w:hAnsi="Times New Roman" w:eastAsia="仿宋"/>
          <w:sz w:val="18"/>
          <w:szCs w:val="18"/>
        </w:rPr>
        <w:t xml:space="preserve">and </w:t>
      </w:r>
      <w:r>
        <w:rPr>
          <w:rFonts w:ascii="Times New Roman" w:hAnsi="Times New Roman" w:eastAsia="仿宋"/>
          <w:sz w:val="18"/>
          <w:szCs w:val="18"/>
        </w:rPr>
        <w:t>A.Pakes，“The Dynamics of Productivity in the Telecommunications Equipment Industry”，</w:t>
      </w:r>
      <w:r>
        <w:rPr>
          <w:rFonts w:ascii="Times New Roman" w:hAnsi="Times New Roman" w:eastAsia="仿宋"/>
          <w:i/>
          <w:iCs/>
          <w:sz w:val="18"/>
          <w:szCs w:val="18"/>
        </w:rPr>
        <w:t>Econometrica</w:t>
      </w:r>
      <w:r>
        <w:rPr>
          <w:rFonts w:ascii="Times New Roman" w:hAnsi="Times New Roman" w:eastAsia="仿宋"/>
          <w:sz w:val="18"/>
          <w:szCs w:val="18"/>
        </w:rPr>
        <w:t>， 1996，64 (6)，1263-1297.</w:t>
      </w:r>
    </w:p>
    <w:p>
      <w:pPr>
        <w:widowControl/>
        <w:numPr>
          <w:ilvl w:val="0"/>
          <w:numId w:val="1"/>
        </w:numPr>
        <w:jc w:val="left"/>
        <w:rPr>
          <w:rFonts w:ascii="Times New Roman" w:hAnsi="Times New Roman" w:eastAsia="仿宋"/>
          <w:sz w:val="18"/>
          <w:szCs w:val="18"/>
        </w:rPr>
      </w:pPr>
      <w:r>
        <w:rPr>
          <w:rFonts w:ascii="Times New Roman" w:hAnsi="Times New Roman" w:eastAsia="仿宋"/>
          <w:sz w:val="18"/>
          <w:szCs w:val="18"/>
        </w:rPr>
        <w:t>周茂、陆毅、杜艳等</w:t>
      </w:r>
      <w:r>
        <w:rPr>
          <w:rFonts w:hint="eastAsia" w:ascii="Times New Roman" w:hAnsi="Times New Roman" w:eastAsia="仿宋"/>
          <w:sz w:val="18"/>
          <w:szCs w:val="18"/>
        </w:rPr>
        <w:t>，“</w:t>
      </w:r>
      <w:r>
        <w:rPr>
          <w:rFonts w:ascii="Times New Roman" w:hAnsi="Times New Roman" w:eastAsia="仿宋"/>
          <w:sz w:val="18"/>
          <w:szCs w:val="18"/>
        </w:rPr>
        <w:t>开发区设立与地区制造业升级</w:t>
      </w:r>
      <w:r>
        <w:rPr>
          <w:rFonts w:hint="eastAsia" w:ascii="Times New Roman" w:hAnsi="Times New Roman" w:eastAsia="仿宋"/>
          <w:sz w:val="18"/>
          <w:szCs w:val="18"/>
        </w:rPr>
        <w:t>”</w:t>
      </w:r>
      <w:r>
        <w:rPr>
          <w:rFonts w:ascii="Times New Roman" w:hAnsi="Times New Roman" w:eastAsia="仿宋"/>
          <w:sz w:val="18"/>
          <w:szCs w:val="18"/>
        </w:rPr>
        <w:t>，《中国工业经济》</w:t>
      </w:r>
      <w:r>
        <w:rPr>
          <w:rFonts w:hint="eastAsia" w:ascii="Times New Roman" w:hAnsi="Times New Roman" w:eastAsia="仿宋"/>
          <w:sz w:val="18"/>
          <w:szCs w:val="18"/>
        </w:rPr>
        <w:t>，2018年</w:t>
      </w:r>
      <w:r>
        <w:rPr>
          <w:rFonts w:ascii="Times New Roman" w:hAnsi="Times New Roman" w:eastAsia="仿宋"/>
          <w:sz w:val="18"/>
          <w:szCs w:val="18"/>
        </w:rPr>
        <w:t>第3期</w:t>
      </w:r>
      <w:r>
        <w:rPr>
          <w:rFonts w:hint="eastAsia" w:ascii="Times New Roman" w:hAnsi="Times New Roman" w:eastAsia="仿宋"/>
          <w:sz w:val="18"/>
          <w:szCs w:val="18"/>
        </w:rPr>
        <w:t>，第62-79页</w:t>
      </w:r>
      <w:r>
        <w:rPr>
          <w:rFonts w:ascii="Times New Roman" w:hAnsi="Times New Roman" w:eastAsia="仿宋"/>
          <w:sz w:val="18"/>
          <w:szCs w:val="18"/>
        </w:rPr>
        <w:t>。</w:t>
      </w:r>
    </w:p>
    <w:p>
      <w:pPr>
        <w:widowControl/>
        <w:rPr>
          <w:rFonts w:ascii="楷体" w:hAnsi="楷体" w:eastAsia="楷体"/>
        </w:rPr>
      </w:pPr>
    </w:p>
    <w:p>
      <w:pPr>
        <w:widowControl/>
        <w:rPr>
          <w:rFonts w:ascii="宋体" w:hAnsi="宋体" w:eastAsia="宋体" w:cs="宋体"/>
          <w:b/>
          <w:bCs/>
        </w:rPr>
      </w:pPr>
    </w:p>
    <w:p>
      <w:pPr>
        <w:spacing w:line="360" w:lineRule="auto"/>
        <w:ind w:left="-2" w:leftChars="-1"/>
        <w:rPr>
          <w:rFonts w:ascii="宋体" w:hAnsi="宋体" w:eastAsia="宋体" w:cs="宋体"/>
          <w:b/>
          <w:bCs/>
          <w:kern w:val="0"/>
          <w:szCs w:val="21"/>
        </w:rPr>
      </w:pPr>
      <w:r>
        <w:rPr>
          <w:rFonts w:hint="eastAsia" w:ascii="宋体" w:hAnsi="宋体" w:eastAsia="宋体" w:cs="宋体"/>
          <w:b/>
          <w:bCs/>
        </w:rPr>
        <w:t>注：该附录是期刊所发表论文的组成部分，同样视为作者公开发表的内容。如研究中使用该附录中的内容，</w:t>
      </w:r>
      <w:r>
        <w:rPr>
          <w:rFonts w:hint="eastAsia" w:ascii="宋体" w:hAnsi="宋体" w:eastAsia="宋体" w:cs="宋体"/>
          <w:b/>
          <w:bCs/>
          <w:kern w:val="0"/>
          <w:szCs w:val="21"/>
        </w:rPr>
        <w:t>请务必在研究成果上注明附录下载出处。</w:t>
      </w:r>
    </w:p>
    <w:p>
      <w:pPr>
        <w:widowControl/>
        <w:rPr>
          <w:rFonts w:ascii="楷体" w:hAnsi="楷体" w:eastAsia="楷体"/>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仿宋" w:hAnsi="仿宋" w:eastAsia="仿宋" w:cs="仿宋"/>
      </w:rPr>
    </w:pPr>
    <w:r>
      <w:rPr>
        <w:rFonts w:hint="eastAsia" w:ascii="仿宋" w:hAnsi="仿宋" w:eastAsia="仿宋" w:cs="仿宋"/>
      </w:rPr>
      <w:t>《经济学》（季刊）                                                              2024年第2期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F4018A"/>
    <w:multiLevelType w:val="singleLevel"/>
    <w:tmpl w:val="31F4018A"/>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EC25F8"/>
    <w:rsid w:val="00121F1E"/>
    <w:rsid w:val="00143ADB"/>
    <w:rsid w:val="001B0B05"/>
    <w:rsid w:val="001F59F2"/>
    <w:rsid w:val="00364211"/>
    <w:rsid w:val="00454610"/>
    <w:rsid w:val="00522885"/>
    <w:rsid w:val="00543BC3"/>
    <w:rsid w:val="005448BD"/>
    <w:rsid w:val="00565819"/>
    <w:rsid w:val="005B204B"/>
    <w:rsid w:val="00736A64"/>
    <w:rsid w:val="00860E1C"/>
    <w:rsid w:val="008F02F5"/>
    <w:rsid w:val="00955AAD"/>
    <w:rsid w:val="009717F0"/>
    <w:rsid w:val="009D7F41"/>
    <w:rsid w:val="00A412C8"/>
    <w:rsid w:val="00AA22CF"/>
    <w:rsid w:val="00AE7201"/>
    <w:rsid w:val="00B05A8E"/>
    <w:rsid w:val="00B20656"/>
    <w:rsid w:val="00B857ED"/>
    <w:rsid w:val="00C13D92"/>
    <w:rsid w:val="00CF2E7F"/>
    <w:rsid w:val="00D01807"/>
    <w:rsid w:val="00D847F7"/>
    <w:rsid w:val="00DB05E8"/>
    <w:rsid w:val="00DF377F"/>
    <w:rsid w:val="00E60812"/>
    <w:rsid w:val="00EC25F8"/>
    <w:rsid w:val="0E3E1F17"/>
    <w:rsid w:val="11F96C16"/>
    <w:rsid w:val="1ADB65A1"/>
    <w:rsid w:val="1B1C795E"/>
    <w:rsid w:val="21E222DD"/>
    <w:rsid w:val="222B6522"/>
    <w:rsid w:val="33E04D53"/>
    <w:rsid w:val="39E657D7"/>
    <w:rsid w:val="43F56E0F"/>
    <w:rsid w:val="483A4EC8"/>
    <w:rsid w:val="49680CD8"/>
    <w:rsid w:val="50A100DB"/>
    <w:rsid w:val="50EB0C6B"/>
    <w:rsid w:val="557A1FBB"/>
    <w:rsid w:val="5AAE2D2A"/>
    <w:rsid w:val="613E0FA6"/>
    <w:rsid w:val="6CCC158F"/>
    <w:rsid w:val="6D486EEA"/>
    <w:rsid w:val="6FC35EAE"/>
    <w:rsid w:val="73DD2291"/>
    <w:rsid w:val="78D21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autoRedefine/>
    <w:qFormat/>
    <w:uiPriority w:val="9"/>
    <w:pPr>
      <w:keepNext/>
      <w:keepLines/>
      <w:spacing w:before="340" w:after="330" w:line="578" w:lineRule="auto"/>
      <w:outlineLvl w:val="0"/>
    </w:pPr>
    <w:rPr>
      <w:b/>
      <w:bCs/>
      <w:kern w:val="44"/>
      <w:sz w:val="44"/>
      <w:szCs w:val="44"/>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21"/>
    <w:autoRedefine/>
    <w:unhideWhenUsed/>
    <w:qFormat/>
    <w:uiPriority w:val="99"/>
    <w:pPr>
      <w:jc w:val="left"/>
    </w:pPr>
  </w:style>
  <w:style w:type="paragraph" w:styleId="4">
    <w:name w:val="toc 3"/>
    <w:basedOn w:val="1"/>
    <w:next w:val="1"/>
    <w:autoRedefine/>
    <w:unhideWhenUsed/>
    <w:qFormat/>
    <w:uiPriority w:val="39"/>
    <w:pPr>
      <w:widowControl/>
      <w:spacing w:after="100" w:line="259" w:lineRule="auto"/>
      <w:ind w:left="440"/>
      <w:jc w:val="left"/>
    </w:pPr>
    <w:rPr>
      <w:rFonts w:cs="Times New Roman"/>
      <w:kern w:val="0"/>
      <w:sz w:val="22"/>
    </w:rPr>
  </w:style>
  <w:style w:type="paragraph" w:styleId="5">
    <w:name w:val="endnote text"/>
    <w:basedOn w:val="1"/>
    <w:link w:val="22"/>
    <w:autoRedefine/>
    <w:unhideWhenUsed/>
    <w:qFormat/>
    <w:uiPriority w:val="99"/>
    <w:pPr>
      <w:snapToGrid w:val="0"/>
      <w:jc w:val="left"/>
    </w:pPr>
  </w:style>
  <w:style w:type="paragraph" w:styleId="6">
    <w:name w:val="Balloon Text"/>
    <w:basedOn w:val="1"/>
    <w:link w:val="23"/>
    <w:autoRedefine/>
    <w:semiHidden/>
    <w:unhideWhenUsed/>
    <w:qFormat/>
    <w:uiPriority w:val="99"/>
    <w:rPr>
      <w:sz w:val="18"/>
      <w:szCs w:val="18"/>
    </w:rPr>
  </w:style>
  <w:style w:type="paragraph" w:styleId="7">
    <w:name w:val="footer"/>
    <w:basedOn w:val="1"/>
    <w:link w:val="24"/>
    <w:autoRedefine/>
    <w:unhideWhenUsed/>
    <w:qFormat/>
    <w:uiPriority w:val="99"/>
    <w:pPr>
      <w:tabs>
        <w:tab w:val="center" w:pos="4153"/>
        <w:tab w:val="right" w:pos="8306"/>
      </w:tabs>
      <w:snapToGrid w:val="0"/>
      <w:jc w:val="left"/>
    </w:pPr>
    <w:rPr>
      <w:sz w:val="18"/>
      <w:szCs w:val="18"/>
    </w:rPr>
  </w:style>
  <w:style w:type="paragraph" w:styleId="8">
    <w:name w:val="header"/>
    <w:basedOn w:val="1"/>
    <w:link w:val="2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unhideWhenUsed/>
    <w:qFormat/>
    <w:uiPriority w:val="39"/>
    <w:pPr>
      <w:widowControl/>
      <w:spacing w:after="100" w:line="259" w:lineRule="auto"/>
      <w:jc w:val="left"/>
    </w:pPr>
    <w:rPr>
      <w:rFonts w:cs="Times New Roman"/>
      <w:kern w:val="0"/>
      <w:sz w:val="22"/>
    </w:rPr>
  </w:style>
  <w:style w:type="paragraph" w:styleId="10">
    <w:name w:val="footnote text"/>
    <w:basedOn w:val="1"/>
    <w:link w:val="26"/>
    <w:autoRedefine/>
    <w:unhideWhenUsed/>
    <w:qFormat/>
    <w:uiPriority w:val="99"/>
    <w:pPr>
      <w:snapToGrid w:val="0"/>
      <w:jc w:val="left"/>
    </w:pPr>
    <w:rPr>
      <w:sz w:val="18"/>
      <w:szCs w:val="18"/>
    </w:rPr>
  </w:style>
  <w:style w:type="paragraph" w:styleId="11">
    <w:name w:val="toc 2"/>
    <w:basedOn w:val="1"/>
    <w:next w:val="1"/>
    <w:autoRedefine/>
    <w:unhideWhenUsed/>
    <w:qFormat/>
    <w:uiPriority w:val="39"/>
    <w:pPr>
      <w:widowControl/>
      <w:spacing w:after="100" w:line="259" w:lineRule="auto"/>
      <w:ind w:left="220"/>
      <w:jc w:val="left"/>
    </w:pPr>
    <w:rPr>
      <w:rFonts w:cs="Times New Roman"/>
      <w:kern w:val="0"/>
      <w:sz w:val="22"/>
    </w:rPr>
  </w:style>
  <w:style w:type="paragraph" w:styleId="12">
    <w:name w:val="Normal (Web)"/>
    <w:basedOn w:val="1"/>
    <w:autoRedefine/>
    <w:unhideWhenUsed/>
    <w:qFormat/>
    <w:uiPriority w:val="99"/>
    <w:pPr>
      <w:spacing w:beforeAutospacing="1" w:afterAutospacing="1"/>
      <w:jc w:val="left"/>
    </w:pPr>
    <w:rPr>
      <w:rFonts w:cs="Times New Roman"/>
      <w:kern w:val="0"/>
      <w:sz w:val="24"/>
    </w:rPr>
  </w:style>
  <w:style w:type="paragraph" w:styleId="13">
    <w:name w:val="annotation subject"/>
    <w:basedOn w:val="3"/>
    <w:next w:val="3"/>
    <w:link w:val="27"/>
    <w:autoRedefine/>
    <w:unhideWhenUsed/>
    <w:qFormat/>
    <w:uiPriority w:val="99"/>
    <w:rPr>
      <w:b/>
      <w:bCs/>
    </w:rPr>
  </w:style>
  <w:style w:type="table" w:styleId="15">
    <w:name w:val="Table Grid"/>
    <w:basedOn w:val="14"/>
    <w:autoRedefine/>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endnote reference"/>
    <w:basedOn w:val="16"/>
    <w:autoRedefine/>
    <w:unhideWhenUsed/>
    <w:qFormat/>
    <w:uiPriority w:val="99"/>
    <w:rPr>
      <w:vertAlign w:val="superscript"/>
    </w:rPr>
  </w:style>
  <w:style w:type="character" w:styleId="18">
    <w:name w:val="Hyperlink"/>
    <w:basedOn w:val="16"/>
    <w:autoRedefine/>
    <w:unhideWhenUsed/>
    <w:qFormat/>
    <w:uiPriority w:val="99"/>
    <w:rPr>
      <w:color w:val="0563C1" w:themeColor="hyperlink"/>
      <w:u w:val="single"/>
      <w14:textFill>
        <w14:solidFill>
          <w14:schemeClr w14:val="hlink"/>
        </w14:solidFill>
      </w14:textFill>
    </w:rPr>
  </w:style>
  <w:style w:type="character" w:styleId="19">
    <w:name w:val="annotation reference"/>
    <w:basedOn w:val="16"/>
    <w:autoRedefine/>
    <w:unhideWhenUsed/>
    <w:qFormat/>
    <w:uiPriority w:val="99"/>
    <w:rPr>
      <w:sz w:val="21"/>
      <w:szCs w:val="21"/>
    </w:rPr>
  </w:style>
  <w:style w:type="character" w:styleId="20">
    <w:name w:val="footnote reference"/>
    <w:basedOn w:val="16"/>
    <w:autoRedefine/>
    <w:unhideWhenUsed/>
    <w:qFormat/>
    <w:uiPriority w:val="99"/>
    <w:rPr>
      <w:vertAlign w:val="superscript"/>
    </w:rPr>
  </w:style>
  <w:style w:type="character" w:customStyle="1" w:styleId="21">
    <w:name w:val="批注文字 字符"/>
    <w:basedOn w:val="16"/>
    <w:link w:val="3"/>
    <w:autoRedefine/>
    <w:qFormat/>
    <w:uiPriority w:val="99"/>
    <w:rPr>
      <w14:ligatures w14:val="none"/>
    </w:rPr>
  </w:style>
  <w:style w:type="character" w:customStyle="1" w:styleId="22">
    <w:name w:val="尾注文本 字符"/>
    <w:basedOn w:val="16"/>
    <w:link w:val="5"/>
    <w:autoRedefine/>
    <w:qFormat/>
    <w:uiPriority w:val="99"/>
    <w:rPr>
      <w14:ligatures w14:val="none"/>
    </w:rPr>
  </w:style>
  <w:style w:type="character" w:customStyle="1" w:styleId="23">
    <w:name w:val="批注框文本 字符"/>
    <w:basedOn w:val="16"/>
    <w:link w:val="6"/>
    <w:autoRedefine/>
    <w:semiHidden/>
    <w:qFormat/>
    <w:uiPriority w:val="99"/>
    <w:rPr>
      <w:sz w:val="18"/>
      <w:szCs w:val="18"/>
      <w14:ligatures w14:val="none"/>
    </w:rPr>
  </w:style>
  <w:style w:type="character" w:customStyle="1" w:styleId="24">
    <w:name w:val="页脚 字符"/>
    <w:basedOn w:val="16"/>
    <w:link w:val="7"/>
    <w:autoRedefine/>
    <w:qFormat/>
    <w:uiPriority w:val="99"/>
    <w:rPr>
      <w:sz w:val="18"/>
      <w:szCs w:val="18"/>
      <w14:ligatures w14:val="none"/>
    </w:rPr>
  </w:style>
  <w:style w:type="character" w:customStyle="1" w:styleId="25">
    <w:name w:val="页眉 字符"/>
    <w:basedOn w:val="16"/>
    <w:link w:val="8"/>
    <w:autoRedefine/>
    <w:qFormat/>
    <w:uiPriority w:val="99"/>
    <w:rPr>
      <w:sz w:val="18"/>
      <w:szCs w:val="18"/>
      <w14:ligatures w14:val="none"/>
    </w:rPr>
  </w:style>
  <w:style w:type="character" w:customStyle="1" w:styleId="26">
    <w:name w:val="脚注文本 字符"/>
    <w:basedOn w:val="16"/>
    <w:link w:val="10"/>
    <w:autoRedefine/>
    <w:qFormat/>
    <w:uiPriority w:val="99"/>
    <w:rPr>
      <w:sz w:val="18"/>
      <w:szCs w:val="18"/>
      <w14:ligatures w14:val="none"/>
    </w:rPr>
  </w:style>
  <w:style w:type="character" w:customStyle="1" w:styleId="27">
    <w:name w:val="批注主题 字符"/>
    <w:basedOn w:val="21"/>
    <w:link w:val="13"/>
    <w:autoRedefine/>
    <w:qFormat/>
    <w:uiPriority w:val="99"/>
    <w:rPr>
      <w:b/>
      <w:bCs/>
      <w14:ligatures w14:val="none"/>
    </w:rPr>
  </w:style>
  <w:style w:type="character" w:customStyle="1" w:styleId="28">
    <w:name w:val="未处理的提及1"/>
    <w:basedOn w:val="16"/>
    <w:autoRedefine/>
    <w:semiHidden/>
    <w:unhideWhenUsed/>
    <w:qFormat/>
    <w:uiPriority w:val="99"/>
    <w:rPr>
      <w:color w:val="605E5C"/>
      <w:shd w:val="clear" w:color="auto" w:fill="E1DFDD"/>
    </w:rPr>
  </w:style>
  <w:style w:type="character" w:customStyle="1" w:styleId="29">
    <w:name w:val="标题 1 字符"/>
    <w:basedOn w:val="16"/>
    <w:link w:val="2"/>
    <w:autoRedefine/>
    <w:qFormat/>
    <w:uiPriority w:val="9"/>
    <w:rPr>
      <w:b/>
      <w:bCs/>
      <w:kern w:val="44"/>
      <w:sz w:val="44"/>
      <w:szCs w:val="44"/>
      <w14:ligatures w14:val="none"/>
    </w:rPr>
  </w:style>
  <w:style w:type="paragraph" w:customStyle="1" w:styleId="30">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19.png"/><Relationship Id="rId33" Type="http://schemas.openxmlformats.org/officeDocument/2006/relationships/image" Target="media/image18.png"/><Relationship Id="rId32" Type="http://schemas.openxmlformats.org/officeDocument/2006/relationships/image" Target="media/image17.png"/><Relationship Id="rId31" Type="http://schemas.openxmlformats.org/officeDocument/2006/relationships/image" Target="media/image16.png"/><Relationship Id="rId30" Type="http://schemas.openxmlformats.org/officeDocument/2006/relationships/image" Target="media/image15.png"/><Relationship Id="rId3" Type="http://schemas.openxmlformats.org/officeDocument/2006/relationships/header" Target="header1.xml"/><Relationship Id="rId29" Type="http://schemas.openxmlformats.org/officeDocument/2006/relationships/image" Target="media/image14.png"/><Relationship Id="rId28" Type="http://schemas.openxmlformats.org/officeDocument/2006/relationships/image" Target="media/image13.wmf"/><Relationship Id="rId27" Type="http://schemas.openxmlformats.org/officeDocument/2006/relationships/oleObject" Target="embeddings/oleObject10.bin"/><Relationship Id="rId26" Type="http://schemas.openxmlformats.org/officeDocument/2006/relationships/image" Target="media/image12.wmf"/><Relationship Id="rId25" Type="http://schemas.openxmlformats.org/officeDocument/2006/relationships/oleObject" Target="embeddings/oleObject9.bin"/><Relationship Id="rId24" Type="http://schemas.openxmlformats.org/officeDocument/2006/relationships/image" Target="media/image11.png"/><Relationship Id="rId23" Type="http://schemas.openxmlformats.org/officeDocument/2006/relationships/image" Target="media/image10.png"/><Relationship Id="rId22" Type="http://schemas.openxmlformats.org/officeDocument/2006/relationships/image" Target="media/image9.png"/><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2406E7-8B11-4FD3-888D-947344F67804}">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2570</Words>
  <Characters>14652</Characters>
  <Lines>122</Lines>
  <Paragraphs>34</Paragraphs>
  <TotalTime>2</TotalTime>
  <ScaleCrop>false</ScaleCrop>
  <LinksUpToDate>false</LinksUpToDate>
  <CharactersWithSpaces>17188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2024-02-20T05:31:00Z</dcterms:created>
  <dc:creator>Aaron Wang</dc:creator>
  <cp:lastModifiedBy>刘京</cp:lastModifiedBy>
  <dcterms:modified xsi:type="dcterms:W3CDTF">2024-03-25T10:55:05Z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E789FFC3FE4E47BFA6C8CD06A4E8182B_12</vt:lpwstr>
  </property>
</Properties>
</file>