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spacing w:line="276" w:lineRule="auto"/>
        <w:jc w:val="center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说明文档</w:t>
      </w:r>
    </w:p>
    <w:p w14:paraId="668E7E5F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（一）文件说明</w:t>
      </w:r>
    </w:p>
    <w:p w14:paraId="2BBC09DD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本论文使用的数据代码压缩包命名为“2024-0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+数据”，解压之后里面有“2024-0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</w:t>
      </w:r>
      <w:r>
        <w:rPr>
          <w:rFonts w:hint="default" w:ascii="Times New Roman" w:hAnsi="Times New Roman" w:eastAsia="仿宋" w:cs="Times New Roman"/>
          <w:b/>
          <w:bCs/>
        </w:rPr>
        <w:t>程序代码</w:t>
      </w:r>
      <w:r>
        <w:rPr>
          <w:rFonts w:hint="default" w:ascii="Times New Roman" w:hAnsi="Times New Roman" w:eastAsia="仿宋" w:cs="Times New Roman"/>
        </w:rPr>
        <w:t>”、“2024-0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</w:t>
      </w:r>
      <w:r>
        <w:rPr>
          <w:rFonts w:hint="default" w:ascii="Times New Roman" w:hAnsi="Times New Roman" w:eastAsia="仿宋" w:cs="Times New Roman"/>
          <w:b/>
          <w:bCs/>
        </w:rPr>
        <w:t>日志文件</w:t>
      </w:r>
      <w:r>
        <w:rPr>
          <w:rFonts w:hint="default" w:ascii="Times New Roman" w:hAnsi="Times New Roman" w:eastAsia="仿宋" w:cs="Times New Roman"/>
        </w:rPr>
        <w:t>”</w:t>
      </w:r>
      <w:r>
        <w:rPr>
          <w:rFonts w:hint="eastAsia" w:ascii="Times New Roman" w:hAnsi="Times New Roman" w:eastAsia="仿宋" w:cs="Times New Roman"/>
          <w:lang w:val="en-US" w:eastAsia="zh-CN"/>
        </w:rPr>
        <w:t>和“</w:t>
      </w:r>
      <w:r>
        <w:rPr>
          <w:rFonts w:hint="default" w:ascii="Times New Roman" w:hAnsi="Times New Roman" w:eastAsia="仿宋" w:cs="Times New Roman"/>
          <w:b w:val="0"/>
          <w:bCs w:val="0"/>
        </w:rPr>
        <w:t>2024-0</w:t>
      </w:r>
      <w:r>
        <w:rPr>
          <w:rFonts w:hint="default" w:ascii="Times New Roman" w:hAnsi="Times New Roman" w:eastAsia="仿宋" w:cs="Times New Roman"/>
          <w:b w:val="0"/>
          <w:bCs w:val="0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  <w:b w:val="0"/>
          <w:bCs w:val="0"/>
        </w:rPr>
        <w:t>+</w:t>
      </w:r>
      <w:r>
        <w:rPr>
          <w:rFonts w:hint="eastAsia" w:ascii="Times New Roman" w:hAnsi="Times New Roman" w:eastAsia="仿宋" w:cs="Times New Roman"/>
          <w:b/>
          <w:bCs/>
          <w:lang w:val="en-US" w:eastAsia="zh-CN"/>
        </w:rPr>
        <w:t>说明文档</w:t>
      </w:r>
      <w:r>
        <w:rPr>
          <w:rFonts w:hint="eastAsia" w:ascii="Times New Roman" w:hAnsi="Times New Roman" w:eastAsia="仿宋" w:cs="Times New Roman"/>
          <w:lang w:val="en-US" w:eastAsia="zh-CN"/>
        </w:rPr>
        <w:t>”3</w:t>
      </w:r>
      <w:r>
        <w:rPr>
          <w:rFonts w:hint="default" w:ascii="Times New Roman" w:hAnsi="Times New Roman" w:eastAsia="仿宋" w:cs="Times New Roman"/>
        </w:rPr>
        <w:t>个部分。</w:t>
      </w:r>
    </w:p>
    <w:p w14:paraId="21770751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（1）“2024-0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</w:t>
      </w:r>
      <w:r>
        <w:rPr>
          <w:rFonts w:hint="default" w:ascii="Times New Roman" w:hAnsi="Times New Roman" w:eastAsia="仿宋" w:cs="Times New Roman"/>
          <w:b/>
          <w:bCs/>
        </w:rPr>
        <w:t>程序代码</w:t>
      </w:r>
      <w:r>
        <w:rPr>
          <w:rFonts w:hint="default" w:ascii="Times New Roman" w:hAnsi="Times New Roman" w:eastAsia="仿宋" w:cs="Times New Roman"/>
        </w:rPr>
        <w:t>”包括</w:t>
      </w:r>
      <w:r>
        <w:rPr>
          <w:rFonts w:hint="default" w:ascii="Times New Roman" w:hAnsi="Times New Roman" w:eastAsia="仿宋" w:cs="Times New Roman"/>
          <w:lang w:val="en-US" w:eastAsia="zh-CN"/>
        </w:rPr>
        <w:t>1</w:t>
      </w:r>
      <w:r>
        <w:rPr>
          <w:rFonts w:hint="default" w:ascii="Times New Roman" w:hAnsi="Times New Roman" w:eastAsia="仿宋" w:cs="Times New Roman"/>
        </w:rPr>
        <w:t>个文件：</w:t>
      </w:r>
    </w:p>
    <w:p w14:paraId="066720C1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“2024-01080+程序代码”是</w:t>
      </w:r>
      <w:r>
        <w:rPr>
          <w:rFonts w:hint="default" w:ascii="Times New Roman" w:hAnsi="Times New Roman" w:eastAsia="仿宋" w:cs="Times New Roman"/>
          <w:lang w:val="en-US" w:eastAsia="zh-CN"/>
        </w:rPr>
        <w:t>文章包含的所有实证分析结果表格和图</w:t>
      </w:r>
      <w:r>
        <w:rPr>
          <w:rFonts w:hint="eastAsia" w:ascii="Times New Roman" w:hAnsi="Times New Roman" w:eastAsia="仿宋" w:cs="Times New Roman"/>
          <w:lang w:val="en-US" w:eastAsia="zh-CN"/>
        </w:rPr>
        <w:t>（包括正文和附录）</w:t>
      </w:r>
      <w:r>
        <w:rPr>
          <w:rFonts w:hint="default" w:ascii="Times New Roman" w:hAnsi="Times New Roman" w:eastAsia="仿宋" w:cs="Times New Roman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</w:rPr>
        <w:t>运行文件，主要生成表1-表</w:t>
      </w:r>
      <w:r>
        <w:rPr>
          <w:rFonts w:hint="default" w:ascii="Times New Roman" w:hAnsi="Times New Roman" w:eastAsia="仿宋" w:cs="Times New Roman"/>
          <w:lang w:val="en-US" w:eastAsia="zh-CN"/>
        </w:rPr>
        <w:t>7</w:t>
      </w:r>
      <w:r>
        <w:rPr>
          <w:rFonts w:hint="default" w:ascii="Times New Roman" w:hAnsi="Times New Roman" w:eastAsia="仿宋" w:cs="Times New Roman"/>
        </w:rPr>
        <w:t>以及在线附录II表</w:t>
      </w:r>
      <w:r>
        <w:rPr>
          <w:rFonts w:hint="default" w:ascii="Times New Roman" w:hAnsi="Times New Roman" w:eastAsia="仿宋" w:cs="Times New Roman"/>
          <w:lang w:val="en-US" w:eastAsia="zh-CN"/>
        </w:rPr>
        <w:t>II1、附录V表V1、附录VII图VII1、表VII1-表VII7和附录VIII图VIII1</w:t>
      </w:r>
      <w:r>
        <w:rPr>
          <w:rFonts w:hint="default" w:ascii="Times New Roman" w:hAnsi="Times New Roman" w:eastAsia="仿宋" w:cs="Times New Roman"/>
        </w:rPr>
        <w:t>的运行结果。</w:t>
      </w:r>
      <w:bookmarkStart w:id="0" w:name="_GoBack"/>
      <w:bookmarkEnd w:id="0"/>
    </w:p>
    <w:p w14:paraId="04616F98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（2）2024-0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</w:t>
      </w:r>
      <w:r>
        <w:rPr>
          <w:rFonts w:hint="default" w:ascii="Times New Roman" w:hAnsi="Times New Roman" w:eastAsia="仿宋" w:cs="Times New Roman"/>
          <w:b/>
          <w:bCs/>
        </w:rPr>
        <w:t>日志文件</w:t>
      </w:r>
      <w:r>
        <w:rPr>
          <w:rFonts w:hint="default" w:ascii="Times New Roman" w:hAnsi="Times New Roman" w:eastAsia="仿宋" w:cs="Times New Roman"/>
        </w:rPr>
        <w:t>”中的“</w:t>
      </w:r>
      <w:r>
        <w:rPr>
          <w:rFonts w:hint="default" w:ascii="Times New Roman" w:hAnsi="Times New Roman" w:eastAsia="仿宋" w:cs="Times New Roman"/>
          <w:lang w:val="en-US" w:eastAsia="zh-CN"/>
        </w:rPr>
        <w:t>表1</w:t>
      </w:r>
      <w:r>
        <w:rPr>
          <w:rFonts w:hint="default" w:ascii="Times New Roman" w:hAnsi="Times New Roman" w:eastAsia="仿宋" w:cs="Times New Roman"/>
        </w:rPr>
        <w:t>”</w:t>
      </w:r>
      <w:r>
        <w:rPr>
          <w:rFonts w:hint="default" w:ascii="Times New Roman" w:hAnsi="Times New Roman" w:eastAsia="仿宋" w:cs="Times New Roman"/>
          <w:lang w:val="en-US" w:eastAsia="zh-CN"/>
        </w:rPr>
        <w:t>-“表7”分别是表1-表7的运行结果；</w:t>
      </w:r>
      <w:r>
        <w:rPr>
          <w:rFonts w:hint="default" w:ascii="Times New Roman" w:hAnsi="Times New Roman" w:eastAsia="仿宋" w:cs="Times New Roman"/>
        </w:rPr>
        <w:t>“图</w:t>
      </w:r>
      <w:r>
        <w:rPr>
          <w:rFonts w:hint="default" w:ascii="Times New Roman" w:hAnsi="Times New Roman" w:eastAsia="仿宋" w:cs="Times New Roman"/>
          <w:lang w:val="en-US" w:eastAsia="zh-CN"/>
        </w:rPr>
        <w:t xml:space="preserve">VII1 </w:t>
      </w:r>
      <w:r>
        <w:rPr>
          <w:rFonts w:hint="default" w:ascii="Times New Roman" w:hAnsi="Times New Roman" w:eastAsia="仿宋" w:cs="Times New Roman"/>
        </w:rPr>
        <w:t>”和“图</w:t>
      </w:r>
      <w:r>
        <w:rPr>
          <w:rFonts w:hint="eastAsia" w:ascii="Times New Roman" w:hAnsi="Times New Roman" w:eastAsia="仿宋" w:cs="Times New Roman"/>
          <w:lang w:val="en-US" w:eastAsia="zh-CN"/>
        </w:rPr>
        <w:t>VIII1</w:t>
      </w:r>
      <w:r>
        <w:rPr>
          <w:rFonts w:hint="default" w:ascii="Times New Roman" w:hAnsi="Times New Roman" w:eastAsia="仿宋" w:cs="Times New Roman"/>
        </w:rPr>
        <w:t>”是</w:t>
      </w:r>
      <w:r>
        <w:rPr>
          <w:rFonts w:hint="eastAsia" w:ascii="Times New Roman" w:hAnsi="Times New Roman" w:eastAsia="仿宋" w:cs="Times New Roman"/>
          <w:lang w:val="en-US" w:eastAsia="zh-CN"/>
        </w:rPr>
        <w:t>在线附录VII中图VII1和在线附录VIII中图VIII1的运行结果。</w:t>
      </w:r>
    </w:p>
    <w:p w14:paraId="7B8B7912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</w:rPr>
        <w:t>需要说明的是，</w:t>
      </w:r>
      <w:r>
        <w:rPr>
          <w:rFonts w:hint="eastAsia" w:ascii="Times New Roman" w:hAnsi="Times New Roman" w:eastAsia="仿宋" w:cs="Times New Roman"/>
          <w:lang w:val="en-US" w:eastAsia="zh-CN"/>
        </w:rPr>
        <w:t>①</w:t>
      </w:r>
      <w:r>
        <w:rPr>
          <w:rFonts w:hint="default" w:ascii="Times New Roman" w:hAnsi="Times New Roman" w:eastAsia="仿宋" w:cs="Times New Roman"/>
        </w:rPr>
        <w:t>与正文中结果相比，</w:t>
      </w:r>
      <w:r>
        <w:rPr>
          <w:rFonts w:hint="eastAsia" w:ascii="Times New Roman" w:hAnsi="Times New Roman" w:eastAsia="仿宋" w:cs="Times New Roman"/>
          <w:lang w:val="en-US" w:eastAsia="zh-CN"/>
        </w:rPr>
        <w:t>表1-表7在颜色和虚实线等方面做了细节调整。②由于本文分析采用HDFE模型，所以输出时选择N_full，即进入模型的所有观测值数量，作为观测值数量进行输出。③图VII1和图VIII1在坐标轴使用了中文等方面做了细节调整。④表5第（2）-第（7）列对比回归结果调整了缴纳社保组和未缴纳社保组的顺序。</w:t>
      </w:r>
    </w:p>
    <w:p w14:paraId="59B10842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</w:t>
      </w:r>
      <w:r>
        <w:rPr>
          <w:rFonts w:hint="eastAsia" w:ascii="Times New Roman" w:hAnsi="Times New Roman" w:eastAsia="仿宋" w:cs="Times New Roman"/>
          <w:lang w:val="en-US" w:eastAsia="zh-CN"/>
        </w:rPr>
        <w:t>3</w:t>
      </w:r>
      <w:r>
        <w:rPr>
          <w:rFonts w:hint="default" w:ascii="Times New Roman" w:hAnsi="Times New Roman" w:eastAsia="仿宋" w:cs="Times New Roman"/>
        </w:rPr>
        <w:t>）“2024-0</w:t>
      </w:r>
      <w:r>
        <w:rPr>
          <w:rFonts w:hint="default" w:ascii="Times New Roman" w:hAnsi="Times New Roman" w:eastAsia="仿宋" w:cs="Times New Roman"/>
          <w:lang w:val="en-US" w:eastAsia="zh-CN"/>
        </w:rPr>
        <w:t>1080</w:t>
      </w:r>
      <w:r>
        <w:rPr>
          <w:rFonts w:hint="default" w:ascii="Times New Roman" w:hAnsi="Times New Roman" w:eastAsia="仿宋" w:cs="Times New Roman"/>
        </w:rPr>
        <w:t>+</w:t>
      </w:r>
      <w:r>
        <w:rPr>
          <w:rFonts w:hint="default" w:ascii="Times New Roman" w:hAnsi="Times New Roman" w:eastAsia="仿宋" w:cs="Times New Roman"/>
          <w:b/>
          <w:bCs/>
        </w:rPr>
        <w:t>说明文档</w:t>
      </w:r>
      <w:r>
        <w:rPr>
          <w:rFonts w:hint="default" w:ascii="Times New Roman" w:hAnsi="Times New Roman" w:eastAsia="仿宋" w:cs="Times New Roman"/>
        </w:rPr>
        <w:t>”即是本说明文档。</w:t>
      </w:r>
    </w:p>
    <w:p w14:paraId="247B5A30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（二）数据来源</w:t>
      </w:r>
    </w:p>
    <w:p w14:paraId="5C1895D3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color w:val="000000"/>
        </w:rPr>
      </w:pPr>
      <w:r>
        <w:rPr>
          <w:rFonts w:hint="default" w:ascii="Times New Roman" w:hAnsi="Times New Roman" w:eastAsia="仿宋" w:cs="Times New Roman"/>
          <w:color w:val="000000"/>
        </w:rPr>
        <w:t>本文使用的数据包括</w:t>
      </w:r>
      <w:r>
        <w:rPr>
          <w:rFonts w:hint="eastAsia" w:ascii="Times New Roman" w:hAnsi="Times New Roman" w:eastAsia="仿宋" w:cs="Times New Roman"/>
          <w:color w:val="000000"/>
          <w:lang w:val="en-US" w:eastAsia="zh-CN"/>
        </w:rPr>
        <w:t>四个</w:t>
      </w:r>
      <w:r>
        <w:rPr>
          <w:rFonts w:hint="default" w:ascii="Times New Roman" w:hAnsi="Times New Roman" w:eastAsia="仿宋" w:cs="Times New Roman"/>
          <w:color w:val="000000"/>
        </w:rPr>
        <w:t>部分：</w:t>
      </w:r>
    </w:p>
    <w:p w14:paraId="5D9FBEE7">
      <w:pPr>
        <w:numPr>
          <w:ilvl w:val="0"/>
          <w:numId w:val="1"/>
        </w:numPr>
        <w:spacing w:line="276" w:lineRule="auto"/>
        <w:ind w:firstLine="420" w:firstLineChars="200"/>
        <w:rPr>
          <w:rFonts w:hint="default" w:ascii="Times New Roman" w:hAnsi="Times New Roman" w:eastAsia="仿宋" w:cs="Times New Roman"/>
          <w:color w:val="000000"/>
        </w:rPr>
      </w:pPr>
      <w:r>
        <w:rPr>
          <w:rFonts w:hint="eastAsia" w:ascii="Times New Roman" w:hAnsi="Times New Roman" w:eastAsia="仿宋" w:cs="Times New Roman"/>
          <w:color w:val="000000"/>
          <w:lang w:val="en-US" w:eastAsia="zh-CN"/>
        </w:rPr>
        <w:t>户籍制度数据</w:t>
      </w:r>
      <w:r>
        <w:rPr>
          <w:rFonts w:hint="default" w:ascii="Times New Roman" w:hAnsi="Times New Roman" w:eastAsia="仿宋" w:cs="Times New Roman"/>
          <w:color w:val="000000"/>
        </w:rPr>
        <w:t>。城市户籍制度文件来源于“北大法宝”和各地公安局网站，并结合张吉鹏和卢冲（2019）的研究进行增补。随后，从户籍制度文件中提取有关社保落户年限要求的描述性信息，形成社保落户改革变量。</w:t>
      </w:r>
      <w:r>
        <w:rPr>
          <w:rFonts w:hint="eastAsia" w:ascii="Times New Roman" w:hAnsi="Times New Roman" w:eastAsia="仿宋" w:cs="Times New Roman"/>
          <w:color w:val="000000"/>
          <w:lang w:val="en-US" w:eastAsia="zh-CN"/>
        </w:rPr>
        <w:t>这一数据可参见 城市社保落户改革.xlsx</w:t>
      </w:r>
    </w:p>
    <w:p w14:paraId="4763B01C">
      <w:pPr>
        <w:numPr>
          <w:ilvl w:val="0"/>
          <w:numId w:val="1"/>
        </w:numPr>
        <w:spacing w:line="276" w:lineRule="auto"/>
        <w:ind w:firstLine="420" w:firstLineChars="200"/>
        <w:rPr>
          <w:rFonts w:hint="default" w:ascii="Times New Roman" w:hAnsi="Times New Roman" w:eastAsia="仿宋" w:cs="Times New Roman"/>
          <w:color w:val="000000"/>
        </w:rPr>
      </w:pPr>
      <w:r>
        <w:rPr>
          <w:rFonts w:hint="eastAsia" w:ascii="Times New Roman" w:hAnsi="Times New Roman" w:eastAsia="仿宋" w:cs="Times New Roman"/>
          <w:color w:val="000000"/>
          <w:lang w:val="en-US" w:eastAsia="zh-CN"/>
        </w:rPr>
        <w:t>企业社保缴费数据。来自中国税收调查（2012-2015年），滞后期变量涉及2011年。</w:t>
      </w:r>
    </w:p>
    <w:p w14:paraId="42A23A53">
      <w:pPr>
        <w:numPr>
          <w:ilvl w:val="0"/>
          <w:numId w:val="1"/>
        </w:numPr>
        <w:spacing w:line="276" w:lineRule="auto"/>
        <w:ind w:firstLine="420" w:firstLineChars="200"/>
        <w:rPr>
          <w:rFonts w:hint="default" w:ascii="Times New Roman" w:hAnsi="Times New Roman" w:eastAsia="仿宋" w:cs="Times New Roman"/>
          <w:szCs w:val="21"/>
        </w:rPr>
      </w:pPr>
      <w:r>
        <w:rPr>
          <w:rFonts w:hint="eastAsia" w:ascii="Times New Roman" w:hAnsi="Times New Roman" w:eastAsia="仿宋" w:cs="Times New Roman"/>
          <w:szCs w:val="21"/>
          <w:lang w:val="en-US" w:eastAsia="zh-CN"/>
        </w:rPr>
        <w:t>流动人口数据。中国流动人口动态监测调查（CMDS，2012-2015年）和中国劳动力动态调查（CLDS，2012、2014和2016年）数据。</w:t>
      </w:r>
    </w:p>
    <w:p w14:paraId="4468B4CD">
      <w:pPr>
        <w:numPr>
          <w:ilvl w:val="0"/>
          <w:numId w:val="1"/>
        </w:num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  <w:color w:val="000000"/>
        </w:rPr>
        <w:t>城市其他宏观数据来自《中国城市统计年鉴》。</w:t>
      </w:r>
    </w:p>
    <w:p w14:paraId="260D5D9D">
      <w:pPr>
        <w:numPr>
          <w:ilvl w:val="0"/>
          <w:numId w:val="0"/>
        </w:numPr>
        <w:spacing w:line="276" w:lineRule="auto"/>
        <w:rPr>
          <w:rFonts w:hint="default" w:ascii="Times New Roman" w:hAnsi="Times New Roman" w:eastAsia="仿宋" w:cs="Times New Roman"/>
        </w:rPr>
      </w:pPr>
    </w:p>
    <w:p w14:paraId="02158E1D">
      <w:pPr>
        <w:numPr>
          <w:ilvl w:val="0"/>
          <w:numId w:val="0"/>
        </w:num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eastAsia" w:ascii="Times New Roman" w:hAnsi="Times New Roman" w:eastAsia="仿宋" w:cs="Times New Roman"/>
          <w:kern w:val="2"/>
          <w:sz w:val="21"/>
          <w:szCs w:val="22"/>
          <w:lang w:val="en-US" w:eastAsia="zh-CN" w:bidi="ar-SA"/>
        </w:rPr>
        <w:t>（三）</w:t>
      </w:r>
      <w:r>
        <w:rPr>
          <w:rFonts w:hint="default" w:ascii="Times New Roman" w:hAnsi="Times New Roman" w:eastAsia="仿宋" w:cs="Times New Roman"/>
        </w:rPr>
        <w:t>Dofile里面使用的指标说明</w:t>
      </w:r>
    </w:p>
    <w:p w14:paraId="3680EBA0">
      <w:pPr>
        <w:numPr>
          <w:ilvl w:val="0"/>
          <w:numId w:val="0"/>
        </w:numPr>
        <w:spacing w:line="276" w:lineRule="auto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基准数据面板（企业面板）指标说明：</w:t>
      </w:r>
    </w:p>
    <w:p w14:paraId="0FC1035E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Rate_SI：企业社保缴费水平，企业养老和医疗保险缴费额（千元）/上年职工工资总额（千元）。</w:t>
      </w:r>
    </w:p>
    <w:p w14:paraId="5BFA82F9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 xml:space="preserve">    D_SISettle：社保落户改革，改革及之后赋值为1，否则为0。</w:t>
      </w:r>
    </w:p>
    <w:p w14:paraId="26FAF2B1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 xml:space="preserve">    SI：企业是否参保，企业社保缴费水平大于0，则为1，否则为0。</w:t>
      </w:r>
    </w:p>
    <w:p w14:paraId="5A8425A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Rate_SI_old：养老保险缴费水平，企业当年养老保险缴费额（千元）/上年职工工资总额（千元）。</w:t>
      </w:r>
    </w:p>
    <w:p w14:paraId="3575E2F7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Rate_SI_med：医疗保险缴费水平，企业当年医疗保险缴费额（千元）/上年职工工资总额（千元）。</w:t>
      </w:r>
    </w:p>
    <w:p w14:paraId="41CA25C4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lnAve_SI：人均社保缴费水平，企业社保缴费额（千元）与员工数（人）比值取对数。</w:t>
      </w:r>
    </w:p>
    <w:p w14:paraId="5797726B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lnWage：工资总额，企业工资支出（千元）取对数。</w:t>
      </w:r>
    </w:p>
    <w:p w14:paraId="3AA2EE50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lnAve_Wage：人均工资水平，企业人均工资（千元）取对数。</w:t>
      </w:r>
    </w:p>
    <w:p w14:paraId="25829761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lnAve_number：雇佣规模，企业职工总数（人）。</w:t>
      </w:r>
    </w:p>
    <w:p w14:paraId="115EBF96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Rate_empmob：劳动力流动性，当期与滞后一期的企业职工数和总资产的对数差。</w:t>
      </w:r>
    </w:p>
    <w:p w14:paraId="0CFA0A5A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lnrevenue：企业收入，企业营业收入（千元）取对数。</w:t>
      </w:r>
    </w:p>
    <w:p w14:paraId="64F77255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lnTaxableSales：企业产出，本年一般货物及劳务销售额（千元）取对数。</w:t>
      </w:r>
    </w:p>
    <w:p w14:paraId="1D956FBA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 xml:space="preserve">lntrain：员工培训投入，企业因职工培训教育支付的费用（千元）取对数。 </w:t>
      </w:r>
    </w:p>
    <w:p w14:paraId="5FF1F786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LabInt：劳动密集度，企业职工总数（人）/总资产（千元）。</w:t>
      </w:r>
    </w:p>
    <w:p w14:paraId="66DC1AE8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D_tech：技术密集型，是否属于技术密集型行业。</w:t>
      </w:r>
    </w:p>
    <w:p w14:paraId="2431F356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DebAssRat_Ori：资产负债率，企业年末总负债（千元）/总资产（千元），使用政策前三年的均值。</w:t>
      </w:r>
    </w:p>
    <w:p w14:paraId="7E8A0E02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lnAsset_Ori：资产规模，企业年末总资产（千元）取对数，使用政策前三年的均值。</w:t>
      </w:r>
    </w:p>
    <w:p w14:paraId="2EFFC2B4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lnAve_wage_Ori：工资水平，企业当年平均职工工资（千元）取对数，使用政策前三年的均值。</w:t>
      </w:r>
    </w:p>
    <w:p w14:paraId="7FDA5DD8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lnGDP_Ori：经济发展水平，GDP（亿元）取对数，使用政策前三年的均值。</w:t>
      </w:r>
    </w:p>
    <w:p w14:paraId="27979FE6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SI_Join_Ori：社保参与水平，职工基本养老保险参保人数（人）取对数，使用政策前三年的均值。</w:t>
      </w:r>
    </w:p>
    <w:p w14:paraId="1657A877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Aging_DependTotal_Ori：社会抚养负担，总抚养比，使用政策前三年的均值。</w:t>
      </w:r>
    </w:p>
    <w:p w14:paraId="3F7F85A7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 xml:space="preserve">    Education_High_Ori：教育水平，高等学校教师数（人）与在校学生数（人）比值，使用政策前三年的均值。</w:t>
      </w:r>
    </w:p>
    <w:p w14:paraId="07AC119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Agriculture_value_Ori：农业产值占比，第一产业占GDP的比例（政策前均值），使用政策前三年的均值。</w:t>
      </w:r>
    </w:p>
    <w:p w14:paraId="578EAE70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Aging_SI_Ori：基金收支压力，养老保险参与者中离退人员（人）占职工（人）比例，使用政策前三年的均值。</w:t>
      </w:r>
    </w:p>
    <w:p w14:paraId="313DD383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Urban_density_Ori：人口密度，常住人口（人）/土地面积（平方公里），使用政策前三年的均值。</w:t>
      </w:r>
    </w:p>
    <w:p w14:paraId="0D643926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Urban_Rate_Ori：城镇化水平，城镇人口（人）占总人口（人）比例，使用政策前三年的均值。</w:t>
      </w:r>
    </w:p>
    <w:p w14:paraId="7256CC90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FisSelf_Ori：财政自给率，地方一般公共预算收入（万元）与支出（万元）比值，使用政策前三年的均值。</w:t>
      </w:r>
    </w:p>
    <w:p w14:paraId="62756DC5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IV：工具变量（IV），政策前户籍门槛指数（张吉鹏和卢冲，2019）乘时间趋势项。</w:t>
      </w:r>
    </w:p>
    <w:p w14:paraId="6C76EF0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Demand_After：改革后年限，改革后社保落户年限要求（年）。</w:t>
      </w:r>
    </w:p>
    <w:p w14:paraId="25B9AFE8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Education_Pri：基础教育水平，普通小学教师数（人）与在校学生数（人）比值。</w:t>
      </w:r>
    </w:p>
    <w:p w14:paraId="2F12F280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*Xtrend、*Xtrend2、*Xtrend3：分别代表控制变量*与时间趋势一次项、二次项和三次项的交乘项。流动人口面板的城市控制变量组同样采取这一设置方式。</w:t>
      </w:r>
    </w:p>
    <w:p w14:paraId="006E87B9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  <w:lang w:val="en-US" w:eastAsia="zh-CN"/>
        </w:rPr>
      </w:pPr>
    </w:p>
    <w:p w14:paraId="529CA7C1">
      <w:pPr>
        <w:numPr>
          <w:ilvl w:val="0"/>
          <w:numId w:val="0"/>
        </w:numPr>
        <w:spacing w:line="276" w:lineRule="auto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eastAsia" w:ascii="Times New Roman" w:hAnsi="Times New Roman" w:eastAsia="仿宋" w:cs="Times New Roman"/>
          <w:lang w:val="en-US" w:eastAsia="zh-CN"/>
        </w:rPr>
        <w:t>流动人口分析面板（流动人口面板）指标说明：</w:t>
      </w:r>
    </w:p>
    <w:p w14:paraId="3E0A594C">
      <w:pPr>
        <w:spacing w:line="276" w:lineRule="auto"/>
        <w:ind w:firstLine="420" w:firstLineChars="200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>SI：社会保险参与，若流动人口在所在地参与社会保险则为1，否为0。</w:t>
      </w:r>
    </w:p>
    <w:p w14:paraId="4F491989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 xml:space="preserve">    D_SISettle:社保落户改革，与企业面板设定一致。</w:t>
      </w:r>
    </w:p>
    <w:p w14:paraId="71927F9F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SI_old:养老保险参与，若流动人口在所在地参与养老保险则为1，否为0。</w:t>
      </w:r>
    </w:p>
    <w:p w14:paraId="670B6AB1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SI_med:医疗保险参与，若流动人口在所在地参与社会保险则为1，否为0。</w:t>
      </w:r>
    </w:p>
    <w:p w14:paraId="287E0E74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 xml:space="preserve">    Sex:性别，男性为1，女性为0。</w:t>
      </w:r>
    </w:p>
    <w:p w14:paraId="206C8824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Age:年龄。</w:t>
      </w:r>
    </w:p>
    <w:p w14:paraId="40F113D1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Education:受教育水平。包括以下四个类别：高中以下、高中或职高、大专、本科及以上。</w:t>
      </w:r>
    </w:p>
    <w:p w14:paraId="181E80FD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Hukou:户口性质，非农户口为1，否为0。</w:t>
      </w:r>
    </w:p>
    <w:p w14:paraId="35E0DBF3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Year_here:来到此地的时长，以年为单位。。</w:t>
      </w:r>
    </w:p>
    <w:p w14:paraId="2A5C98B8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Ownership：单位所有制，国有单位为1，非国有单位为0。</w:t>
      </w:r>
    </w:p>
    <w:p w14:paraId="762DA27D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分组虚拟变量：</w:t>
      </w:r>
    </w:p>
    <w:p w14:paraId="1C7FE52A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年龄分组：Age1代表18-25岁，Age2代表26-35岁，Age3代表36-45岁，Age4代表46-55岁，Age5代表55岁以上。</w:t>
      </w:r>
    </w:p>
    <w:p w14:paraId="06A98E0D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学历分组：Lessthanhighschool代表高中以下，highschool代表高中或职高，Juniorcollege代表大专，Universityorhigher代表本科及以上</w:t>
      </w:r>
    </w:p>
    <w:p w14:paraId="583DEF17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来到此地时长分组：Year_here1代表5年以内， Year_here2代表5-10年，Year_here3代表10年以上。</w:t>
      </w:r>
    </w:p>
    <w:p w14:paraId="7340FB99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工作行业分组：Industry代表制造业，RetailandCatering代表餐饮零售业，OtherServices代表其他服务业，Government代表政府及公共事业，othersec代表其他。</w:t>
      </w:r>
    </w:p>
    <w:p w14:paraId="2AE37ED3">
      <w:pPr>
        <w:spacing w:line="276" w:lineRule="auto"/>
        <w:rPr>
          <w:rFonts w:hint="default" w:ascii="Times New Roman" w:hAnsi="Times New Roman" w:eastAsia="仿宋" w:cs="Times New Roman"/>
        </w:rPr>
      </w:pPr>
      <w:r>
        <w:rPr>
          <w:rFonts w:hint="default" w:ascii="Times New Roman" w:hAnsi="Times New Roman" w:eastAsia="仿宋" w:cs="Times New Roman"/>
        </w:rPr>
        <w:tab/>
      </w:r>
      <w:r>
        <w:rPr>
          <w:rFonts w:hint="default" w:ascii="Times New Roman" w:hAnsi="Times New Roman" w:eastAsia="仿宋" w:cs="Times New Roman"/>
        </w:rPr>
        <w:t>流动原因分组：FlowReson_work代表工作原因，FlowReson_Accompany代表随迁，FlowReson_Marry代表婚姻，FlowReson_SeekRefuge代表亲属投靠，Otherreason代表其他。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31DB54"/>
    <w:multiLevelType w:val="singleLevel"/>
    <w:tmpl w:val="2031DB5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2A1F7201"/>
    <w:rsid w:val="2B072552"/>
    <w:rsid w:val="2CCC682E"/>
    <w:rsid w:val="33E14CC7"/>
    <w:rsid w:val="36E325B9"/>
    <w:rsid w:val="3D4853DC"/>
    <w:rsid w:val="4EAE5CB3"/>
    <w:rsid w:val="521B1BE5"/>
    <w:rsid w:val="536C263F"/>
    <w:rsid w:val="54BE6593"/>
    <w:rsid w:val="571874DA"/>
    <w:rsid w:val="6B2E0E74"/>
    <w:rsid w:val="6DC96E47"/>
    <w:rsid w:val="6FC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2131</Words>
  <Characters>2947</Characters>
  <Lines>17</Lines>
  <Paragraphs>4</Paragraphs>
  <TotalTime>2</TotalTime>
  <ScaleCrop>false</ScaleCrop>
  <LinksUpToDate>false</LinksUpToDate>
  <CharactersWithSpaces>3013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以光散黑</cp:lastModifiedBy>
  <dcterms:modified xsi:type="dcterms:W3CDTF">2025-05-23T09:53:53Z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eyJoZGlkIjoiMDc2NjAyOTIyMzM1OTZlMTM2OTdkNmQ5ZDgzZGNlZmUiLCJ1c2VySWQiOiIzNzI1NzMwNTkifQ==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CCED17A77743455F90518D8D0EAA5F52_12</vt:lpwstr>
  </property>
</Properties>
</file>