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B62A" w14:textId="2C32C09C" w:rsidR="004442CA" w:rsidRPr="004B2F99" w:rsidRDefault="004B2F99" w:rsidP="004B2F99">
      <w:pPr>
        <w:spacing w:beforeLines="100" w:before="312" w:afterLines="50" w:after="156"/>
        <w:ind w:firstLineChars="0" w:firstLine="0"/>
        <w:jc w:val="center"/>
        <w:rPr>
          <w:rFonts w:cs="Times New Roman"/>
          <w:b/>
          <w:sz w:val="28"/>
          <w:szCs w:val="28"/>
        </w:rPr>
      </w:pPr>
      <w:bookmarkStart w:id="0" w:name="_Toc176106314"/>
      <w:bookmarkStart w:id="1" w:name="_Hlk175757267"/>
      <w:r w:rsidRPr="004B2F99">
        <w:rPr>
          <w:rFonts w:cs="Times New Roman" w:hint="eastAsia"/>
          <w:b/>
          <w:sz w:val="28"/>
          <w:szCs w:val="28"/>
        </w:rPr>
        <w:t>《</w:t>
      </w:r>
      <w:r w:rsidRPr="004B2F99">
        <w:rPr>
          <w:rFonts w:ascii="仿宋" w:hAnsi="仿宋" w:hint="eastAsia"/>
          <w:b/>
          <w:bCs/>
          <w:sz w:val="28"/>
          <w:szCs w:val="28"/>
        </w:rPr>
        <w:t>“洋垃圾”进口禁令与区域环境污染</w:t>
      </w:r>
      <w:r w:rsidRPr="004B2F99">
        <w:rPr>
          <w:rFonts w:cs="Times New Roman" w:hint="eastAsia"/>
          <w:b/>
          <w:sz w:val="28"/>
          <w:szCs w:val="28"/>
        </w:rPr>
        <w:t>》</w:t>
      </w:r>
      <w:r w:rsidR="004442CA" w:rsidRPr="004B2F99">
        <w:rPr>
          <w:rFonts w:cs="Times New Roman"/>
          <w:b/>
          <w:sz w:val="28"/>
          <w:szCs w:val="28"/>
        </w:rPr>
        <w:t>数据处理细节</w:t>
      </w:r>
      <w:bookmarkEnd w:id="0"/>
      <w:bookmarkEnd w:id="1"/>
      <w:r w:rsidR="004442CA" w:rsidRPr="004B2F99">
        <w:rPr>
          <w:rFonts w:cs="Times New Roman" w:hint="eastAsia"/>
          <w:b/>
          <w:sz w:val="28"/>
          <w:szCs w:val="28"/>
        </w:rPr>
        <w:t>以及日志文件相关说明</w:t>
      </w:r>
    </w:p>
    <w:p w14:paraId="0D6D7446" w14:textId="15ABB805" w:rsidR="004442CA" w:rsidRPr="004442CA" w:rsidRDefault="004442CA" w:rsidP="004442CA">
      <w:pPr>
        <w:pStyle w:val="1"/>
        <w:spacing w:before="156" w:after="156"/>
        <w:ind w:firstLine="482"/>
      </w:pPr>
      <w:r w:rsidRPr="004442CA">
        <w:t>一、</w:t>
      </w:r>
      <w:r w:rsidRPr="004442CA">
        <w:rPr>
          <w:rFonts w:hint="eastAsia"/>
        </w:rPr>
        <w:t>数据来源</w:t>
      </w:r>
    </w:p>
    <w:p w14:paraId="1FB96232" w14:textId="520F51DA" w:rsidR="004442CA" w:rsidRPr="00C93574" w:rsidRDefault="004442CA" w:rsidP="004442CA">
      <w:pPr>
        <w:ind w:firstLine="420"/>
        <w:rPr>
          <w:bCs/>
        </w:rPr>
      </w:pPr>
      <w:r w:rsidRPr="00C93574">
        <w:rPr>
          <w:rFonts w:hint="eastAsia"/>
          <w:bCs/>
        </w:rPr>
        <w:t>本文所使用的城市固体废物进口数据来源于中国固废化学品管理网</w:t>
      </w:r>
      <w:r w:rsidR="000F432D">
        <w:rPr>
          <w:rFonts w:hint="eastAsia"/>
          <w:bCs/>
        </w:rPr>
        <w:t>（</w:t>
      </w:r>
      <w:r w:rsidR="000F432D" w:rsidRPr="000F432D">
        <w:rPr>
          <w:bCs/>
        </w:rPr>
        <w:t>https://www.meescc.cn/wsjssh/spgs/xzjklgsjsp/gsb/</w:t>
      </w:r>
      <w:r w:rsidR="000F432D">
        <w:rPr>
          <w:rFonts w:hint="eastAsia"/>
          <w:bCs/>
        </w:rPr>
        <w:t>）</w:t>
      </w:r>
      <w:r w:rsidRPr="00C93574">
        <w:rPr>
          <w:rFonts w:hint="eastAsia"/>
          <w:bCs/>
        </w:rPr>
        <w:t>，该网站记录了</w:t>
      </w:r>
      <w:r w:rsidRPr="00C93574">
        <w:rPr>
          <w:rFonts w:hint="eastAsia"/>
          <w:bCs/>
        </w:rPr>
        <w:t>2015</w:t>
      </w:r>
      <w:r w:rsidRPr="00C93574">
        <w:rPr>
          <w:rFonts w:hint="eastAsia"/>
          <w:bCs/>
        </w:rPr>
        <w:t>年—</w:t>
      </w:r>
      <w:r w:rsidRPr="00C93574">
        <w:rPr>
          <w:rFonts w:hint="eastAsia"/>
          <w:bCs/>
        </w:rPr>
        <w:t>2020</w:t>
      </w:r>
      <w:r w:rsidRPr="00C93574">
        <w:rPr>
          <w:rFonts w:hint="eastAsia"/>
          <w:bCs/>
        </w:rPr>
        <w:t>年间固体废物的加工利用单位和进口规模，本文依据加工单位的工商注册信息匹配至城市层面并对进口量进行汇总，从而得到城市层面的固体废物进口数据；市场化指数根据</w:t>
      </w:r>
      <w:r w:rsidRPr="00C93574">
        <w:rPr>
          <w:rFonts w:hint="eastAsia"/>
          <w:bCs/>
          <w:iCs/>
        </w:rPr>
        <w:t>樊纲等（</w:t>
      </w:r>
      <w:r w:rsidRPr="00C93574">
        <w:rPr>
          <w:rFonts w:hint="eastAsia"/>
          <w:bCs/>
          <w:iCs/>
        </w:rPr>
        <w:t>2011</w:t>
      </w:r>
      <w:r w:rsidRPr="00C93574">
        <w:rPr>
          <w:rFonts w:hint="eastAsia"/>
          <w:bCs/>
          <w:iCs/>
        </w:rPr>
        <w:t>）提出的方法计算得出；</w:t>
      </w:r>
      <w:r w:rsidRPr="00C93574">
        <w:rPr>
          <w:rFonts w:hint="eastAsia"/>
          <w:bCs/>
        </w:rPr>
        <w:t>其余控制变量的数据以及用于计算</w:t>
      </w:r>
      <w:r w:rsidRPr="00C93574">
        <w:rPr>
          <w:rFonts w:hint="eastAsia"/>
          <w:bCs/>
          <w:iCs/>
        </w:rPr>
        <w:t>城市环境达标指数和城市污染综合指数</w:t>
      </w:r>
      <w:r w:rsidRPr="00C93574">
        <w:rPr>
          <w:rFonts w:hint="eastAsia"/>
          <w:bCs/>
        </w:rPr>
        <w:t>如</w:t>
      </w:r>
      <w:r w:rsidRPr="00C93574">
        <w:rPr>
          <w:rFonts w:hint="eastAsia"/>
          <w:bCs/>
          <w:iCs/>
        </w:rPr>
        <w:t>工业废水排放量、</w:t>
      </w:r>
      <w:r w:rsidRPr="00C93574">
        <w:rPr>
          <w:rFonts w:hint="eastAsia"/>
          <w:bCs/>
        </w:rPr>
        <w:t>城市人均生产总值、外贸依存度等则主要来自</w:t>
      </w:r>
      <w:r>
        <w:rPr>
          <w:rFonts w:hint="eastAsia"/>
          <w:bCs/>
        </w:rPr>
        <w:t>《中国</w:t>
      </w:r>
      <w:r w:rsidRPr="00C93574">
        <w:rPr>
          <w:rFonts w:hint="eastAsia"/>
          <w:bCs/>
        </w:rPr>
        <w:t>城市统计年鉴</w:t>
      </w:r>
      <w:r>
        <w:rPr>
          <w:rFonts w:hint="eastAsia"/>
          <w:bCs/>
        </w:rPr>
        <w:t>》</w:t>
      </w:r>
      <w:r w:rsidRPr="00C93574">
        <w:rPr>
          <w:rFonts w:hint="eastAsia"/>
          <w:bCs/>
        </w:rPr>
        <w:t>、海关网。</w:t>
      </w:r>
    </w:p>
    <w:p w14:paraId="709E3937" w14:textId="1F978F31" w:rsidR="004442CA" w:rsidRDefault="004442CA" w:rsidP="004442CA">
      <w:pPr>
        <w:ind w:firstLine="420"/>
      </w:pPr>
      <w:r w:rsidRPr="004442CA">
        <w:rPr>
          <w:rFonts w:hint="eastAsia"/>
        </w:rPr>
        <w:t>需要说明的是，由于中国固废化学品管理网在</w:t>
      </w:r>
      <w:r w:rsidRPr="004442CA">
        <w:rPr>
          <w:rFonts w:hint="eastAsia"/>
        </w:rPr>
        <w:t>2018</w:t>
      </w:r>
      <w:r w:rsidRPr="004442CA">
        <w:rPr>
          <w:rFonts w:hint="eastAsia"/>
        </w:rPr>
        <w:t>年之后公布的数据不再披露进口单位，而只公布了加工利用单位，为了保持数据统计口径一致，本文以洋垃圾进口的加工利用单位为准。这有可能因无法准确识别洋垃圾第一进口单位而导致基准估计效应或污染物溢出效应存在一定的偏误，但好在已有的数据表明多数加工利用单位和进口单位往往是一致的。如</w:t>
      </w:r>
      <w:r w:rsidRPr="004442CA">
        <w:rPr>
          <w:rFonts w:hint="eastAsia"/>
        </w:rPr>
        <w:t>2017</w:t>
      </w:r>
      <w:r w:rsidRPr="004442CA">
        <w:rPr>
          <w:rFonts w:hint="eastAsia"/>
        </w:rPr>
        <w:t>年的数据显示，两个单位不一致或不存在明显关联（如城市不一致、加工企业名称明显存在区分的）的比例不超过总体样本的</w:t>
      </w:r>
      <w:r w:rsidRPr="004442CA">
        <w:rPr>
          <w:rFonts w:hint="eastAsia"/>
        </w:rPr>
        <w:t>35%</w:t>
      </w:r>
      <w:r w:rsidRPr="004442CA">
        <w:rPr>
          <w:rFonts w:hint="eastAsia"/>
        </w:rPr>
        <w:t>，使得此问题造成的偏误程度在可控范围之内。</w:t>
      </w:r>
    </w:p>
    <w:p w14:paraId="7A609DBA" w14:textId="26D40DC9" w:rsidR="0058050F" w:rsidRPr="0058050F" w:rsidRDefault="0058050F" w:rsidP="004442CA">
      <w:pPr>
        <w:ind w:firstLine="420"/>
      </w:pPr>
      <w:r>
        <w:rPr>
          <w:rFonts w:hint="eastAsia"/>
        </w:rPr>
        <w:t>以下五个城市</w:t>
      </w:r>
      <w:r w:rsidR="00633398">
        <w:rPr>
          <w:rFonts w:hint="eastAsia"/>
        </w:rPr>
        <w:t>不包含在</w:t>
      </w:r>
      <w:r>
        <w:rPr>
          <w:rFonts w:hint="eastAsia"/>
        </w:rPr>
        <w:t>处理组中，原因是在进口禁令颁布之后，此五座城市的固体废物进口量仍有增加，包括</w:t>
      </w:r>
      <w:r w:rsidRPr="00770CB1">
        <w:rPr>
          <w:rFonts w:hint="eastAsia"/>
        </w:rPr>
        <w:t>东营</w:t>
      </w:r>
      <w:r>
        <w:rPr>
          <w:rFonts w:hint="eastAsia"/>
        </w:rPr>
        <w:t>市</w:t>
      </w:r>
      <w:r w:rsidRPr="00770CB1">
        <w:rPr>
          <w:rFonts w:hint="eastAsia"/>
        </w:rPr>
        <w:t>、嘉兴</w:t>
      </w:r>
      <w:r>
        <w:rPr>
          <w:rFonts w:hint="eastAsia"/>
        </w:rPr>
        <w:t>市</w:t>
      </w:r>
      <w:r w:rsidRPr="00770CB1">
        <w:rPr>
          <w:rFonts w:hint="eastAsia"/>
        </w:rPr>
        <w:t>、沈阳</w:t>
      </w:r>
      <w:r>
        <w:rPr>
          <w:rFonts w:hint="eastAsia"/>
        </w:rPr>
        <w:t>市</w:t>
      </w:r>
      <w:r w:rsidRPr="00770CB1">
        <w:rPr>
          <w:rFonts w:hint="eastAsia"/>
        </w:rPr>
        <w:t>、黄山</w:t>
      </w:r>
      <w:r>
        <w:rPr>
          <w:rFonts w:hint="eastAsia"/>
        </w:rPr>
        <w:t>市</w:t>
      </w:r>
      <w:r w:rsidRPr="00770CB1">
        <w:rPr>
          <w:rFonts w:hint="eastAsia"/>
        </w:rPr>
        <w:t>和成都</w:t>
      </w:r>
      <w:r>
        <w:rPr>
          <w:rFonts w:hint="eastAsia"/>
        </w:rPr>
        <w:t>市。</w:t>
      </w:r>
    </w:p>
    <w:p w14:paraId="16A08F5A" w14:textId="26C4F167" w:rsidR="00256403" w:rsidRDefault="00AB24FF" w:rsidP="00AB24FF">
      <w:pPr>
        <w:pStyle w:val="1"/>
        <w:spacing w:before="156" w:after="156"/>
        <w:ind w:firstLine="482"/>
      </w:pPr>
      <w:r>
        <w:rPr>
          <w:rFonts w:hint="eastAsia"/>
        </w:rPr>
        <w:t>二、程序代码</w:t>
      </w:r>
    </w:p>
    <w:p w14:paraId="70711C4B" w14:textId="3D275900" w:rsidR="004442CA" w:rsidRDefault="00AB24FF">
      <w:pPr>
        <w:ind w:firstLine="420"/>
      </w:pPr>
      <w:r>
        <w:rPr>
          <w:rFonts w:hint="eastAsia"/>
        </w:rPr>
        <w:t>本文的实证过程所使用的软件主要为</w:t>
      </w:r>
      <w:r>
        <w:rPr>
          <w:rFonts w:hint="eastAsia"/>
        </w:rPr>
        <w:t>STATA 17.0</w:t>
      </w:r>
      <w:r>
        <w:rPr>
          <w:rFonts w:hint="eastAsia"/>
        </w:rPr>
        <w:t>（正文</w:t>
      </w:r>
      <w:r>
        <w:rPr>
          <w:rFonts w:hint="eastAsia"/>
        </w:rPr>
        <w:t>+</w:t>
      </w:r>
      <w:r>
        <w:rPr>
          <w:rFonts w:hint="eastAsia"/>
        </w:rPr>
        <w:t>部分附录），以及</w:t>
      </w:r>
      <w:r>
        <w:rPr>
          <w:rFonts w:hint="eastAsia"/>
        </w:rPr>
        <w:t>MATLAN 2024</w:t>
      </w:r>
      <w:r>
        <w:rPr>
          <w:rFonts w:hint="eastAsia"/>
        </w:rPr>
        <w:t>（部分附录）</w:t>
      </w:r>
      <w:r w:rsidR="006223BD">
        <w:rPr>
          <w:rFonts w:hint="eastAsia"/>
        </w:rPr>
        <w:t>，因此本文程序代码主要存储在</w:t>
      </w:r>
      <w:r w:rsidR="006223BD" w:rsidRPr="00C46754">
        <w:rPr>
          <w:rFonts w:hint="eastAsia"/>
          <w:color w:val="000000" w:themeColor="text1"/>
        </w:rPr>
        <w:t>“</w:t>
      </w:r>
      <w:r w:rsidR="00050871" w:rsidRPr="00050871">
        <w:t>2024-01222</w:t>
      </w:r>
      <w:r w:rsidR="006223BD" w:rsidRPr="00C46754">
        <w:rPr>
          <w:color w:val="000000" w:themeColor="text1"/>
        </w:rPr>
        <w:t>_</w:t>
      </w:r>
      <w:r w:rsidR="006223BD">
        <w:rPr>
          <w:rFonts w:hint="eastAsia"/>
          <w:color w:val="000000" w:themeColor="text1"/>
        </w:rPr>
        <w:t>程序</w:t>
      </w:r>
      <w:r w:rsidR="006223BD" w:rsidRPr="00C46754">
        <w:rPr>
          <w:rFonts w:hint="eastAsia"/>
          <w:color w:val="000000" w:themeColor="text1"/>
        </w:rPr>
        <w:t>代码</w:t>
      </w:r>
      <w:r w:rsidR="006223BD" w:rsidRPr="00C46754">
        <w:rPr>
          <w:color w:val="000000" w:themeColor="text1"/>
        </w:rPr>
        <w:t>_</w:t>
      </w:r>
      <w:r w:rsidR="006223BD">
        <w:rPr>
          <w:rFonts w:hint="eastAsia"/>
          <w:color w:val="000000" w:themeColor="text1"/>
        </w:rPr>
        <w:t>1</w:t>
      </w:r>
      <w:r w:rsidR="006223BD" w:rsidRPr="00C46754">
        <w:rPr>
          <w:rFonts w:hint="eastAsia"/>
          <w:color w:val="000000" w:themeColor="text1"/>
        </w:rPr>
        <w:t>”</w:t>
      </w:r>
      <w:r w:rsidR="006223BD">
        <w:rPr>
          <w:rFonts w:hint="eastAsia"/>
          <w:color w:val="000000" w:themeColor="text1"/>
        </w:rPr>
        <w:t>这一</w:t>
      </w:r>
      <w:r w:rsidR="006223BD">
        <w:rPr>
          <w:rFonts w:hint="eastAsia"/>
          <w:color w:val="000000" w:themeColor="text1"/>
        </w:rPr>
        <w:t>DO</w:t>
      </w:r>
      <w:r w:rsidR="006223BD">
        <w:rPr>
          <w:rFonts w:hint="eastAsia"/>
          <w:color w:val="000000" w:themeColor="text1"/>
        </w:rPr>
        <w:t>文件中和</w:t>
      </w:r>
      <w:r w:rsidR="006223BD" w:rsidRPr="00C46754">
        <w:rPr>
          <w:rFonts w:hint="eastAsia"/>
          <w:color w:val="000000" w:themeColor="text1"/>
        </w:rPr>
        <w:t>“</w:t>
      </w:r>
      <w:r w:rsidR="00050871" w:rsidRPr="00050871">
        <w:t>2024-01222</w:t>
      </w:r>
      <w:r w:rsidR="006223BD" w:rsidRPr="00C46754">
        <w:rPr>
          <w:color w:val="000000" w:themeColor="text1"/>
        </w:rPr>
        <w:t>_</w:t>
      </w:r>
      <w:r w:rsidR="006223BD">
        <w:rPr>
          <w:rFonts w:hint="eastAsia"/>
          <w:color w:val="000000" w:themeColor="text1"/>
        </w:rPr>
        <w:t>程序</w:t>
      </w:r>
      <w:r w:rsidR="006223BD" w:rsidRPr="00C46754">
        <w:rPr>
          <w:rFonts w:hint="eastAsia"/>
          <w:color w:val="000000" w:themeColor="text1"/>
        </w:rPr>
        <w:t>代码</w:t>
      </w:r>
      <w:r w:rsidR="006223BD" w:rsidRPr="00C46754">
        <w:rPr>
          <w:color w:val="000000" w:themeColor="text1"/>
        </w:rPr>
        <w:t>_</w:t>
      </w:r>
      <w:r w:rsidR="006223BD">
        <w:rPr>
          <w:rFonts w:hint="eastAsia"/>
          <w:color w:val="000000" w:themeColor="text1"/>
        </w:rPr>
        <w:t>2</w:t>
      </w:r>
      <w:r w:rsidR="006223BD" w:rsidRPr="00C46754">
        <w:rPr>
          <w:rFonts w:hint="eastAsia"/>
          <w:color w:val="000000" w:themeColor="text1"/>
        </w:rPr>
        <w:t>”</w:t>
      </w:r>
      <w:r w:rsidR="006223BD">
        <w:rPr>
          <w:rFonts w:hint="eastAsia"/>
          <w:color w:val="000000" w:themeColor="text1"/>
        </w:rPr>
        <w:t>M</w:t>
      </w:r>
      <w:r w:rsidR="006223BD">
        <w:rPr>
          <w:rFonts w:hint="eastAsia"/>
          <w:color w:val="000000" w:themeColor="text1"/>
        </w:rPr>
        <w:t>文件中</w:t>
      </w:r>
      <w:r w:rsidR="00B406E6">
        <w:rPr>
          <w:rFonts w:hint="eastAsia"/>
          <w:color w:val="000000" w:themeColor="text1"/>
        </w:rPr>
        <w:t>，</w:t>
      </w:r>
      <w:r w:rsidR="0042712E">
        <w:rPr>
          <w:rFonts w:hint="eastAsia"/>
          <w:color w:val="000000" w:themeColor="text1"/>
        </w:rPr>
        <w:t>我们按照图表的先后顺序呈现相关代码。</w:t>
      </w:r>
      <w:r w:rsidR="00B406E6">
        <w:rPr>
          <w:rFonts w:hint="eastAsia"/>
          <w:color w:val="000000" w:themeColor="text1"/>
        </w:rPr>
        <w:t>其中，使用核心数据包括两个部分，“</w:t>
      </w:r>
      <w:bookmarkStart w:id="2" w:name="_Hlk191179299"/>
      <w:r w:rsidR="00B406E6">
        <w:rPr>
          <w:rFonts w:hint="eastAsia"/>
          <w:color w:val="000000" w:themeColor="text1"/>
        </w:rPr>
        <w:t>数据</w:t>
      </w:r>
      <w:r w:rsidR="00B406E6">
        <w:rPr>
          <w:rFonts w:hint="eastAsia"/>
          <w:color w:val="000000" w:themeColor="text1"/>
        </w:rPr>
        <w:t>1</w:t>
      </w:r>
      <w:r w:rsidR="00727B29">
        <w:rPr>
          <w:rFonts w:hint="eastAsia"/>
          <w:color w:val="000000" w:themeColor="text1"/>
        </w:rPr>
        <w:t>-1</w:t>
      </w:r>
      <w:bookmarkEnd w:id="2"/>
      <w:r w:rsidR="00B406E6">
        <w:rPr>
          <w:rFonts w:hint="eastAsia"/>
          <w:color w:val="000000" w:themeColor="text1"/>
        </w:rPr>
        <w:t>”</w:t>
      </w:r>
      <w:r w:rsidR="00AD2695">
        <w:rPr>
          <w:rFonts w:hint="eastAsia"/>
          <w:color w:val="000000" w:themeColor="text1"/>
        </w:rPr>
        <w:t>（</w:t>
      </w:r>
      <w:r w:rsidR="00AD2695">
        <w:rPr>
          <w:rFonts w:hint="eastAsia"/>
          <w:color w:val="000000" w:themeColor="text1"/>
        </w:rPr>
        <w:t>data</w:t>
      </w:r>
      <w:r w:rsidR="00F713EA">
        <w:rPr>
          <w:rFonts w:hint="eastAsia"/>
          <w:color w:val="000000" w:themeColor="text1"/>
        </w:rPr>
        <w:t>_main</w:t>
      </w:r>
      <w:r w:rsidR="00AD2695">
        <w:rPr>
          <w:rFonts w:hint="eastAsia"/>
          <w:color w:val="000000" w:themeColor="text1"/>
        </w:rPr>
        <w:t>.dta</w:t>
      </w:r>
      <w:r w:rsidR="00AD2695">
        <w:rPr>
          <w:rFonts w:hint="eastAsia"/>
          <w:color w:val="000000" w:themeColor="text1"/>
        </w:rPr>
        <w:t>）</w:t>
      </w:r>
      <w:r w:rsidR="00B406E6">
        <w:rPr>
          <w:rFonts w:hint="eastAsia"/>
          <w:color w:val="000000" w:themeColor="text1"/>
        </w:rPr>
        <w:t>为核心计量</w:t>
      </w:r>
      <w:r w:rsidR="00593D55">
        <w:rPr>
          <w:rFonts w:hint="eastAsia"/>
          <w:color w:val="000000" w:themeColor="text1"/>
        </w:rPr>
        <w:t>数据</w:t>
      </w:r>
      <w:r w:rsidR="00B406E6">
        <w:rPr>
          <w:rFonts w:hint="eastAsia"/>
          <w:color w:val="000000" w:themeColor="text1"/>
        </w:rPr>
        <w:t>，“数据</w:t>
      </w:r>
      <w:r w:rsidR="00727B29">
        <w:rPr>
          <w:rFonts w:hint="eastAsia"/>
          <w:color w:val="000000" w:themeColor="text1"/>
        </w:rPr>
        <w:t>1-</w:t>
      </w:r>
      <w:r w:rsidR="00B406E6">
        <w:rPr>
          <w:rFonts w:hint="eastAsia"/>
          <w:color w:val="000000" w:themeColor="text1"/>
        </w:rPr>
        <w:t>2</w:t>
      </w:r>
      <w:r w:rsidR="00B406E6">
        <w:rPr>
          <w:rFonts w:hint="eastAsia"/>
          <w:color w:val="000000" w:themeColor="text1"/>
        </w:rPr>
        <w:t>”则是一个系列，主要为空间溢出效应中的权重设置，如权重矩阵包括地理相邻矩阵（</w:t>
      </w:r>
      <w:r w:rsidR="00B406E6" w:rsidRPr="00B406E6">
        <w:rPr>
          <w:rFonts w:hint="eastAsia"/>
          <w:i/>
          <w:iCs/>
          <w:color w:val="000000" w:themeColor="text1"/>
        </w:rPr>
        <w:t>W</w:t>
      </w:r>
      <w:r w:rsidR="00B406E6" w:rsidRPr="00B406E6">
        <w:rPr>
          <w:rFonts w:hint="eastAsia"/>
          <w:color w:val="000000" w:themeColor="text1"/>
          <w:vertAlign w:val="subscript"/>
        </w:rPr>
        <w:t>1</w:t>
      </w:r>
      <w:r w:rsidR="00B406E6">
        <w:rPr>
          <w:rFonts w:hint="eastAsia"/>
          <w:color w:val="000000" w:themeColor="text1"/>
        </w:rPr>
        <w:t>）、地理距离矩阵（</w:t>
      </w:r>
      <w:r w:rsidR="00B406E6" w:rsidRPr="00B406E6">
        <w:rPr>
          <w:rFonts w:hint="eastAsia"/>
          <w:i/>
          <w:iCs/>
          <w:color w:val="000000" w:themeColor="text1"/>
        </w:rPr>
        <w:t>W</w:t>
      </w:r>
      <w:r w:rsidR="00B406E6">
        <w:rPr>
          <w:rFonts w:hint="eastAsia"/>
          <w:color w:val="000000" w:themeColor="text1"/>
          <w:vertAlign w:val="subscript"/>
        </w:rPr>
        <w:t>2</w:t>
      </w:r>
      <w:r w:rsidR="00B406E6">
        <w:rPr>
          <w:rFonts w:hint="eastAsia"/>
          <w:color w:val="000000" w:themeColor="text1"/>
        </w:rPr>
        <w:t>）以及</w:t>
      </w:r>
      <w:r w:rsidR="00D5504C">
        <w:rPr>
          <w:rFonts w:hint="eastAsia"/>
          <w:color w:val="000000" w:themeColor="text1"/>
        </w:rPr>
        <w:t>附录中的</w:t>
      </w:r>
      <w:r w:rsidR="00B406E6">
        <w:rPr>
          <w:rFonts w:hint="eastAsia"/>
          <w:color w:val="000000" w:themeColor="text1"/>
        </w:rPr>
        <w:t>经济地理矩阵（</w:t>
      </w:r>
      <w:r w:rsidR="00B406E6" w:rsidRPr="00B406E6">
        <w:rPr>
          <w:rFonts w:hint="eastAsia"/>
          <w:i/>
          <w:iCs/>
          <w:color w:val="000000" w:themeColor="text1"/>
        </w:rPr>
        <w:t>W</w:t>
      </w:r>
      <w:r w:rsidR="00D5504C">
        <w:rPr>
          <w:rFonts w:hint="eastAsia"/>
          <w:color w:val="000000" w:themeColor="text1"/>
          <w:vertAlign w:val="subscript"/>
        </w:rPr>
        <w:t>3</w:t>
      </w:r>
      <w:r w:rsidR="00B406E6">
        <w:rPr>
          <w:rFonts w:hint="eastAsia"/>
          <w:color w:val="000000" w:themeColor="text1"/>
        </w:rPr>
        <w:t>）</w:t>
      </w:r>
      <w:r w:rsidR="000F432D">
        <w:rPr>
          <w:rFonts w:hint="eastAsia"/>
          <w:color w:val="000000" w:themeColor="text1"/>
        </w:rPr>
        <w:t>，</w:t>
      </w:r>
      <w:r w:rsidR="00D5504C">
        <w:rPr>
          <w:rFonts w:hint="eastAsia"/>
          <w:color w:val="000000" w:themeColor="text1"/>
        </w:rPr>
        <w:t>此三个矩阵均以地级市为单位</w:t>
      </w:r>
      <w:r w:rsidR="000F432D">
        <w:rPr>
          <w:rFonts w:hint="eastAsia"/>
          <w:color w:val="000000" w:themeColor="text1"/>
        </w:rPr>
        <w:t>。</w:t>
      </w:r>
      <w:r w:rsidR="00D5504C">
        <w:rPr>
          <w:rFonts w:hint="eastAsia"/>
          <w:color w:val="000000" w:themeColor="text1"/>
        </w:rPr>
        <w:t>而附录中的莫兰指数散点图和马尔科夫转移矩阵均以省级为单位</w:t>
      </w:r>
      <w:r w:rsidR="00727B29">
        <w:rPr>
          <w:rFonts w:hint="eastAsia"/>
          <w:color w:val="000000" w:themeColor="text1"/>
        </w:rPr>
        <w:t>，因此与之对应是省级层面的环境污染指数“数据</w:t>
      </w:r>
      <w:r w:rsidR="00727B29">
        <w:rPr>
          <w:rFonts w:hint="eastAsia"/>
          <w:color w:val="000000" w:themeColor="text1"/>
        </w:rPr>
        <w:t>2-1</w:t>
      </w:r>
      <w:r w:rsidR="00727B29">
        <w:rPr>
          <w:rFonts w:hint="eastAsia"/>
          <w:color w:val="000000" w:themeColor="text1"/>
        </w:rPr>
        <w:t>”</w:t>
      </w:r>
      <w:r w:rsidR="00AD2695">
        <w:rPr>
          <w:rFonts w:hint="eastAsia"/>
          <w:color w:val="000000" w:themeColor="text1"/>
        </w:rPr>
        <w:t>（主要使用到了分年度的各省环境污染指数）</w:t>
      </w:r>
      <w:r w:rsidR="00727B29">
        <w:rPr>
          <w:rFonts w:hint="eastAsia"/>
          <w:color w:val="000000" w:themeColor="text1"/>
        </w:rPr>
        <w:t>及省级层面的权重矩阵“数据</w:t>
      </w:r>
      <w:r w:rsidR="00727B29">
        <w:rPr>
          <w:rFonts w:hint="eastAsia"/>
          <w:color w:val="000000" w:themeColor="text1"/>
        </w:rPr>
        <w:t>2-1</w:t>
      </w:r>
      <w:r w:rsidR="00727B29">
        <w:rPr>
          <w:rFonts w:hint="eastAsia"/>
          <w:color w:val="000000" w:themeColor="text1"/>
        </w:rPr>
        <w:t>”</w:t>
      </w:r>
      <w:r w:rsidR="00AD2695">
        <w:rPr>
          <w:rFonts w:hint="eastAsia"/>
          <w:color w:val="000000" w:themeColor="text1"/>
        </w:rPr>
        <w:t>，</w:t>
      </w:r>
      <w:r w:rsidR="00350389">
        <w:rPr>
          <w:rFonts w:hint="eastAsia"/>
          <w:color w:val="000000" w:themeColor="text1"/>
        </w:rPr>
        <w:t>其中</w:t>
      </w:r>
      <w:r w:rsidR="00AD2695">
        <w:rPr>
          <w:rFonts w:hint="eastAsia"/>
          <w:color w:val="000000" w:themeColor="text1"/>
        </w:rPr>
        <w:t>在莫兰散点图使用的</w:t>
      </w:r>
      <w:r w:rsidR="000556A8">
        <w:rPr>
          <w:rFonts w:hint="eastAsia"/>
          <w:color w:val="000000" w:themeColor="text1"/>
        </w:rPr>
        <w:t>数据为</w:t>
      </w:r>
      <w:r w:rsidR="00C03C8A" w:rsidRPr="00C03C8A">
        <w:rPr>
          <w:color w:val="000000" w:themeColor="text1"/>
        </w:rPr>
        <w:t>data_moran'I</w:t>
      </w:r>
      <w:r w:rsidR="000556A8">
        <w:rPr>
          <w:rFonts w:hint="eastAsia"/>
          <w:color w:val="000000" w:themeColor="text1"/>
        </w:rPr>
        <w:t>.dta</w:t>
      </w:r>
      <w:r w:rsidR="000556A8">
        <w:rPr>
          <w:rFonts w:hint="eastAsia"/>
          <w:color w:val="000000" w:themeColor="text1"/>
        </w:rPr>
        <w:t>且</w:t>
      </w:r>
      <w:r w:rsidR="00AD2695">
        <w:rPr>
          <w:rFonts w:hint="eastAsia"/>
          <w:color w:val="000000" w:themeColor="text1"/>
        </w:rPr>
        <w:t>空间矩阵命名为</w:t>
      </w:r>
      <w:r w:rsidR="00AD2695" w:rsidRPr="00AD2695">
        <w:rPr>
          <w:rFonts w:hint="eastAsia"/>
          <w:i/>
          <w:iCs/>
          <w:color w:val="000000" w:themeColor="text1"/>
        </w:rPr>
        <w:t>W</w:t>
      </w:r>
      <w:r w:rsidR="00AD2695">
        <w:rPr>
          <w:rFonts w:hint="eastAsia"/>
          <w:color w:val="000000" w:themeColor="text1"/>
        </w:rPr>
        <w:t>，在马尔科夫转移矩阵的矩阵命名为</w:t>
      </w:r>
      <w:r w:rsidR="00AD2695" w:rsidRPr="00AD2695">
        <w:rPr>
          <w:rFonts w:hint="eastAsia"/>
          <w:i/>
          <w:iCs/>
          <w:color w:val="000000" w:themeColor="text1"/>
        </w:rPr>
        <w:t>B</w:t>
      </w:r>
      <w:r w:rsidR="00D5504C">
        <w:rPr>
          <w:rFonts w:hint="eastAsia"/>
          <w:color w:val="000000" w:themeColor="text1"/>
        </w:rPr>
        <w:t>。</w:t>
      </w:r>
    </w:p>
    <w:p w14:paraId="16C9E89F" w14:textId="652DE186" w:rsidR="00AB24FF" w:rsidRDefault="00F52DD1" w:rsidP="00F52DD1">
      <w:pPr>
        <w:pStyle w:val="1"/>
        <w:spacing w:before="156" w:after="156"/>
        <w:ind w:firstLine="482"/>
      </w:pPr>
      <w:r>
        <w:rPr>
          <w:rFonts w:hint="eastAsia"/>
        </w:rPr>
        <w:t>三、日志文件及数据说明</w:t>
      </w:r>
    </w:p>
    <w:p w14:paraId="7450397F" w14:textId="0B64FBE6" w:rsidR="00AB24FF" w:rsidRDefault="00F52DD1" w:rsidP="00F52DD1">
      <w:pPr>
        <w:pStyle w:val="2"/>
        <w:spacing w:before="156" w:after="156"/>
        <w:ind w:firstLine="422"/>
      </w:pPr>
      <w:r>
        <w:rPr>
          <w:rFonts w:hint="eastAsia"/>
        </w:rPr>
        <w:t>（一）正文表</w:t>
      </w:r>
      <w:r>
        <w:rPr>
          <w:rFonts w:hint="eastAsia"/>
        </w:rPr>
        <w:t>1</w:t>
      </w:r>
    </w:p>
    <w:p w14:paraId="40E0BEEF" w14:textId="092326FB" w:rsidR="00F52DD1" w:rsidRDefault="00F52DD1" w:rsidP="00F52DD1">
      <w:pPr>
        <w:ind w:firstLine="420"/>
      </w:pPr>
      <w:r>
        <w:rPr>
          <w:rFonts w:hint="eastAsia"/>
        </w:rPr>
        <w:t>以下是本文的核心变量含义及测度方式，其中控制变量在后文的使用中保持统一。</w:t>
      </w:r>
    </w:p>
    <w:tbl>
      <w:tblPr>
        <w:tblStyle w:val="af2"/>
        <w:tblW w:w="0" w:type="auto"/>
        <w:jc w:val="center"/>
        <w:tblBorders>
          <w:top w:val="single" w:sz="0" w:space="0" w:color="000000"/>
          <w:left w:val="nil"/>
          <w:bottom w:val="single" w:sz="0" w:space="0" w:color="000000"/>
          <w:right w:val="nil"/>
          <w:insideH w:val="nil"/>
          <w:insideV w:val="nil"/>
        </w:tblBorders>
        <w:tblLook w:val="04A0" w:firstRow="1" w:lastRow="0" w:firstColumn="1" w:lastColumn="0" w:noHBand="0" w:noVBand="1"/>
      </w:tblPr>
      <w:tblGrid>
        <w:gridCol w:w="1116"/>
        <w:gridCol w:w="756"/>
        <w:gridCol w:w="1656"/>
        <w:gridCol w:w="4356"/>
      </w:tblGrid>
      <w:tr w:rsidR="00CF31B2" w:rsidRPr="00CF31B2" w14:paraId="44E14188" w14:textId="77777777" w:rsidTr="008C58DD">
        <w:trPr>
          <w:jc w:val="center"/>
        </w:trPr>
        <w:tc>
          <w:tcPr>
            <w:tcW w:w="0" w:type="auto"/>
            <w:tcBorders>
              <w:bottom w:val="single" w:sz="0" w:space="0" w:color="000000"/>
            </w:tcBorders>
          </w:tcPr>
          <w:p w14:paraId="62BB8B77"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sz w:val="18"/>
                <w:szCs w:val="18"/>
              </w:rPr>
              <w:t>类型</w:t>
            </w:r>
          </w:p>
        </w:tc>
        <w:tc>
          <w:tcPr>
            <w:tcW w:w="0" w:type="auto"/>
            <w:tcBorders>
              <w:bottom w:val="single" w:sz="0" w:space="0" w:color="000000"/>
            </w:tcBorders>
            <w:vAlign w:val="center"/>
          </w:tcPr>
          <w:p w14:paraId="4FE24166"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sz w:val="18"/>
                <w:szCs w:val="18"/>
              </w:rPr>
              <w:t>变量名</w:t>
            </w:r>
          </w:p>
        </w:tc>
        <w:tc>
          <w:tcPr>
            <w:tcW w:w="0" w:type="auto"/>
            <w:tcBorders>
              <w:bottom w:val="single" w:sz="0" w:space="0" w:color="000000"/>
            </w:tcBorders>
            <w:vAlign w:val="center"/>
          </w:tcPr>
          <w:p w14:paraId="35F3D8D9"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sz w:val="18"/>
                <w:szCs w:val="18"/>
              </w:rPr>
              <w:t>变量含义</w:t>
            </w:r>
          </w:p>
        </w:tc>
        <w:tc>
          <w:tcPr>
            <w:tcW w:w="0" w:type="auto"/>
            <w:tcBorders>
              <w:bottom w:val="single" w:sz="0" w:space="0" w:color="000000"/>
            </w:tcBorders>
            <w:vAlign w:val="center"/>
          </w:tcPr>
          <w:p w14:paraId="66D2BACC"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测度方式</w:t>
            </w:r>
          </w:p>
        </w:tc>
      </w:tr>
      <w:tr w:rsidR="00CF31B2" w:rsidRPr="00CF31B2" w14:paraId="71078160" w14:textId="77777777" w:rsidTr="008C58DD">
        <w:trPr>
          <w:jc w:val="center"/>
        </w:trPr>
        <w:tc>
          <w:tcPr>
            <w:tcW w:w="0" w:type="auto"/>
            <w:vMerge w:val="restart"/>
            <w:tcBorders>
              <w:top w:val="single" w:sz="0" w:space="0" w:color="000000"/>
            </w:tcBorders>
            <w:vAlign w:val="center"/>
          </w:tcPr>
          <w:p w14:paraId="109BCFDC" w14:textId="77777777" w:rsidR="00CF31B2" w:rsidRPr="00CF31B2" w:rsidRDefault="00CF31B2" w:rsidP="002C6531">
            <w:pPr>
              <w:ind w:firstLineChars="0" w:firstLine="0"/>
              <w:jc w:val="center"/>
              <w:rPr>
                <w:rFonts w:ascii="Times New Roman" w:hAnsi="Times New Roman"/>
                <w:iCs/>
                <w:sz w:val="18"/>
                <w:szCs w:val="18"/>
              </w:rPr>
            </w:pPr>
            <w:r w:rsidRPr="00CF31B2">
              <w:rPr>
                <w:rFonts w:ascii="Times New Roman" w:hAnsi="Times New Roman" w:hint="eastAsia"/>
                <w:iCs/>
                <w:sz w:val="18"/>
                <w:szCs w:val="18"/>
              </w:rPr>
              <w:t>被解释变量</w:t>
            </w:r>
          </w:p>
        </w:tc>
        <w:tc>
          <w:tcPr>
            <w:tcW w:w="0" w:type="auto"/>
            <w:tcBorders>
              <w:top w:val="single" w:sz="0" w:space="0" w:color="000000"/>
            </w:tcBorders>
            <w:vAlign w:val="center"/>
          </w:tcPr>
          <w:p w14:paraId="4481E00C"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hint="eastAsia"/>
                <w:i/>
                <w:sz w:val="18"/>
                <w:szCs w:val="18"/>
              </w:rPr>
              <w:t>Pul</w:t>
            </w:r>
          </w:p>
        </w:tc>
        <w:tc>
          <w:tcPr>
            <w:tcW w:w="0" w:type="auto"/>
            <w:tcBorders>
              <w:top w:val="single" w:sz="0" w:space="0" w:color="000000"/>
            </w:tcBorders>
            <w:vAlign w:val="center"/>
          </w:tcPr>
          <w:p w14:paraId="457CFDE2"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sz w:val="18"/>
                <w:szCs w:val="18"/>
              </w:rPr>
              <w:t>环境污染指数</w:t>
            </w:r>
          </w:p>
        </w:tc>
        <w:tc>
          <w:tcPr>
            <w:tcW w:w="0" w:type="auto"/>
            <w:tcBorders>
              <w:top w:val="single" w:sz="0" w:space="0" w:color="000000"/>
            </w:tcBorders>
            <w:vAlign w:val="center"/>
          </w:tcPr>
          <w:p w14:paraId="6724928D"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主成分得分计算得出</w:t>
            </w:r>
          </w:p>
        </w:tc>
      </w:tr>
      <w:tr w:rsidR="00CF31B2" w:rsidRPr="00CF31B2" w14:paraId="31E52A33" w14:textId="77777777" w:rsidTr="008C58DD">
        <w:trPr>
          <w:jc w:val="center"/>
        </w:trPr>
        <w:tc>
          <w:tcPr>
            <w:tcW w:w="0" w:type="auto"/>
            <w:vMerge/>
            <w:vAlign w:val="center"/>
          </w:tcPr>
          <w:p w14:paraId="47FB2F25" w14:textId="77777777" w:rsidR="00CF31B2" w:rsidRPr="00CF31B2" w:rsidRDefault="00CF31B2" w:rsidP="002C6531">
            <w:pPr>
              <w:ind w:firstLineChars="0" w:firstLine="0"/>
              <w:jc w:val="center"/>
              <w:rPr>
                <w:rFonts w:ascii="Times New Roman" w:hAnsi="Times New Roman"/>
                <w:iCs/>
                <w:sz w:val="18"/>
                <w:szCs w:val="18"/>
              </w:rPr>
            </w:pPr>
          </w:p>
        </w:tc>
        <w:tc>
          <w:tcPr>
            <w:tcW w:w="0" w:type="auto"/>
            <w:vAlign w:val="center"/>
          </w:tcPr>
          <w:p w14:paraId="0A4C6E3E"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Ass</w:t>
            </w:r>
          </w:p>
        </w:tc>
        <w:tc>
          <w:tcPr>
            <w:tcW w:w="0" w:type="auto"/>
            <w:vAlign w:val="center"/>
          </w:tcPr>
          <w:p w14:paraId="312E0529"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sz w:val="18"/>
                <w:szCs w:val="18"/>
              </w:rPr>
              <w:t>环境达标指数</w:t>
            </w:r>
          </w:p>
        </w:tc>
        <w:tc>
          <w:tcPr>
            <w:tcW w:w="0" w:type="auto"/>
            <w:vAlign w:val="center"/>
          </w:tcPr>
          <w:p w14:paraId="4D88B80E"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主成分得分计算得出</w:t>
            </w:r>
          </w:p>
        </w:tc>
      </w:tr>
      <w:tr w:rsidR="00CF31B2" w:rsidRPr="00CF31B2" w14:paraId="5F2E1501" w14:textId="77777777" w:rsidTr="008C58DD">
        <w:trPr>
          <w:jc w:val="center"/>
        </w:trPr>
        <w:tc>
          <w:tcPr>
            <w:tcW w:w="0" w:type="auto"/>
            <w:vMerge w:val="restart"/>
            <w:vAlign w:val="center"/>
          </w:tcPr>
          <w:p w14:paraId="3F90B294" w14:textId="77777777" w:rsidR="00CF31B2" w:rsidRPr="00CF31B2" w:rsidRDefault="00CF31B2" w:rsidP="002C6531">
            <w:pPr>
              <w:ind w:firstLineChars="0" w:firstLine="0"/>
              <w:jc w:val="center"/>
              <w:rPr>
                <w:rFonts w:ascii="Times New Roman" w:hAnsi="Times New Roman"/>
                <w:iCs/>
                <w:sz w:val="18"/>
                <w:szCs w:val="18"/>
              </w:rPr>
            </w:pPr>
            <w:r w:rsidRPr="00CF31B2">
              <w:rPr>
                <w:rFonts w:ascii="Times New Roman" w:hAnsi="Times New Roman" w:hint="eastAsia"/>
                <w:iCs/>
                <w:sz w:val="18"/>
                <w:szCs w:val="18"/>
              </w:rPr>
              <w:t>解释变量</w:t>
            </w:r>
          </w:p>
        </w:tc>
        <w:tc>
          <w:tcPr>
            <w:tcW w:w="0" w:type="auto"/>
            <w:vAlign w:val="center"/>
          </w:tcPr>
          <w:p w14:paraId="2D1FBF9E"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hint="eastAsia"/>
                <w:i/>
                <w:iCs/>
                <w:sz w:val="18"/>
                <w:szCs w:val="18"/>
              </w:rPr>
              <w:t>Treat</w:t>
            </w:r>
          </w:p>
        </w:tc>
        <w:tc>
          <w:tcPr>
            <w:tcW w:w="0" w:type="auto"/>
            <w:vAlign w:val="center"/>
          </w:tcPr>
          <w:p w14:paraId="3606E0CC"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sz w:val="18"/>
                <w:szCs w:val="18"/>
              </w:rPr>
              <w:t>处理组城市</w:t>
            </w:r>
          </w:p>
        </w:tc>
        <w:tc>
          <w:tcPr>
            <w:tcW w:w="0" w:type="auto"/>
            <w:vAlign w:val="center"/>
          </w:tcPr>
          <w:p w14:paraId="40EAC821"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洋垃圾进口城市为</w:t>
            </w:r>
            <w:r w:rsidRPr="00CF31B2">
              <w:rPr>
                <w:rFonts w:ascii="Times New Roman" w:hAnsi="Times New Roman" w:hint="eastAsia"/>
                <w:sz w:val="18"/>
                <w:szCs w:val="18"/>
              </w:rPr>
              <w:t>1</w:t>
            </w:r>
            <w:r w:rsidRPr="00CF31B2">
              <w:rPr>
                <w:rFonts w:ascii="Times New Roman" w:hAnsi="Times New Roman" w:hint="eastAsia"/>
                <w:sz w:val="18"/>
                <w:szCs w:val="18"/>
              </w:rPr>
              <w:t>，否则为</w:t>
            </w:r>
            <w:r w:rsidRPr="00CF31B2">
              <w:rPr>
                <w:rFonts w:ascii="Times New Roman" w:hAnsi="Times New Roman" w:hint="eastAsia"/>
                <w:sz w:val="18"/>
                <w:szCs w:val="18"/>
              </w:rPr>
              <w:t>0</w:t>
            </w:r>
          </w:p>
        </w:tc>
      </w:tr>
      <w:tr w:rsidR="00CF31B2" w:rsidRPr="00CF31B2" w14:paraId="5A95DF31" w14:textId="77777777" w:rsidTr="008C58DD">
        <w:trPr>
          <w:jc w:val="center"/>
        </w:trPr>
        <w:tc>
          <w:tcPr>
            <w:tcW w:w="0" w:type="auto"/>
            <w:vMerge/>
            <w:vAlign w:val="center"/>
          </w:tcPr>
          <w:p w14:paraId="05E8AD45" w14:textId="77777777" w:rsidR="00CF31B2" w:rsidRPr="00CF31B2" w:rsidRDefault="00CF31B2" w:rsidP="002C6531">
            <w:pPr>
              <w:ind w:firstLineChars="0" w:firstLine="0"/>
              <w:jc w:val="center"/>
              <w:rPr>
                <w:rFonts w:ascii="Times New Roman" w:hAnsi="Times New Roman"/>
                <w:iCs/>
                <w:sz w:val="18"/>
                <w:szCs w:val="18"/>
              </w:rPr>
            </w:pPr>
          </w:p>
        </w:tc>
        <w:tc>
          <w:tcPr>
            <w:tcW w:w="0" w:type="auto"/>
            <w:vAlign w:val="center"/>
          </w:tcPr>
          <w:p w14:paraId="4A4BE4BE"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Post</w:t>
            </w:r>
          </w:p>
        </w:tc>
        <w:tc>
          <w:tcPr>
            <w:tcW w:w="0" w:type="auto"/>
            <w:vAlign w:val="center"/>
          </w:tcPr>
          <w:p w14:paraId="5C931B19"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sz w:val="18"/>
                <w:szCs w:val="18"/>
              </w:rPr>
              <w:t>政策时期变量</w:t>
            </w:r>
          </w:p>
        </w:tc>
        <w:tc>
          <w:tcPr>
            <w:tcW w:w="0" w:type="auto"/>
            <w:vAlign w:val="center"/>
          </w:tcPr>
          <w:p w14:paraId="12837244"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2018</w:t>
            </w:r>
            <w:r w:rsidRPr="00CF31B2">
              <w:rPr>
                <w:rFonts w:ascii="Times New Roman" w:hAnsi="Times New Roman" w:hint="eastAsia"/>
                <w:sz w:val="18"/>
                <w:szCs w:val="18"/>
              </w:rPr>
              <w:t>年及之后为</w:t>
            </w:r>
            <w:r w:rsidRPr="00CF31B2">
              <w:rPr>
                <w:rFonts w:ascii="Times New Roman" w:hAnsi="Times New Roman" w:hint="eastAsia"/>
                <w:sz w:val="18"/>
                <w:szCs w:val="18"/>
              </w:rPr>
              <w:t>1</w:t>
            </w:r>
            <w:r w:rsidRPr="00CF31B2">
              <w:rPr>
                <w:rFonts w:ascii="Times New Roman" w:hAnsi="Times New Roman" w:hint="eastAsia"/>
                <w:sz w:val="18"/>
                <w:szCs w:val="18"/>
              </w:rPr>
              <w:t>，否则为</w:t>
            </w:r>
            <w:r w:rsidRPr="00CF31B2">
              <w:rPr>
                <w:rFonts w:ascii="Times New Roman" w:hAnsi="Times New Roman" w:hint="eastAsia"/>
                <w:sz w:val="18"/>
                <w:szCs w:val="18"/>
              </w:rPr>
              <w:t>0</w:t>
            </w:r>
          </w:p>
        </w:tc>
      </w:tr>
      <w:tr w:rsidR="00CF31B2" w:rsidRPr="00CF31B2" w14:paraId="3397E217" w14:textId="77777777" w:rsidTr="008C58DD">
        <w:trPr>
          <w:jc w:val="center"/>
        </w:trPr>
        <w:tc>
          <w:tcPr>
            <w:tcW w:w="0" w:type="auto"/>
            <w:vMerge w:val="restart"/>
            <w:vAlign w:val="center"/>
          </w:tcPr>
          <w:p w14:paraId="42A03371" w14:textId="77777777" w:rsidR="00CF31B2" w:rsidRPr="00CF31B2" w:rsidRDefault="00CF31B2" w:rsidP="002C6531">
            <w:pPr>
              <w:ind w:firstLineChars="0" w:firstLine="0"/>
              <w:jc w:val="center"/>
              <w:rPr>
                <w:rFonts w:ascii="Times New Roman" w:hAnsi="Times New Roman"/>
                <w:iCs/>
                <w:sz w:val="18"/>
                <w:szCs w:val="18"/>
              </w:rPr>
            </w:pPr>
            <w:r w:rsidRPr="00CF31B2">
              <w:rPr>
                <w:rFonts w:ascii="Times New Roman" w:hAnsi="Times New Roman" w:hint="eastAsia"/>
                <w:iCs/>
                <w:sz w:val="18"/>
                <w:szCs w:val="18"/>
              </w:rPr>
              <w:t>控制变量</w:t>
            </w:r>
          </w:p>
        </w:tc>
        <w:tc>
          <w:tcPr>
            <w:tcW w:w="0" w:type="auto"/>
            <w:vAlign w:val="center"/>
          </w:tcPr>
          <w:p w14:paraId="16E24B52"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sz w:val="18"/>
                <w:szCs w:val="18"/>
              </w:rPr>
              <w:t>Gov</w:t>
            </w:r>
          </w:p>
        </w:tc>
        <w:tc>
          <w:tcPr>
            <w:tcW w:w="0" w:type="auto"/>
            <w:vAlign w:val="center"/>
          </w:tcPr>
          <w:p w14:paraId="02705765"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政府财自主度</w:t>
            </w:r>
          </w:p>
        </w:tc>
        <w:tc>
          <w:tcPr>
            <w:tcW w:w="0" w:type="auto"/>
            <w:vAlign w:val="center"/>
          </w:tcPr>
          <w:p w14:paraId="2AD55F90"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iCs/>
                <w:sz w:val="18"/>
                <w:szCs w:val="18"/>
              </w:rPr>
              <w:t>政府预算内支出占</w:t>
            </w:r>
            <w:r w:rsidRPr="00CF31B2">
              <w:rPr>
                <w:rFonts w:ascii="Times New Roman" w:hAnsi="Times New Roman" w:hint="eastAsia"/>
                <w:iCs/>
                <w:sz w:val="18"/>
                <w:szCs w:val="18"/>
              </w:rPr>
              <w:t xml:space="preserve"> GDP </w:t>
            </w:r>
            <w:r w:rsidRPr="00CF31B2">
              <w:rPr>
                <w:rFonts w:ascii="Times New Roman" w:hAnsi="Times New Roman" w:hint="eastAsia"/>
                <w:iCs/>
                <w:sz w:val="18"/>
                <w:szCs w:val="18"/>
              </w:rPr>
              <w:t>比重</w:t>
            </w:r>
          </w:p>
        </w:tc>
      </w:tr>
      <w:tr w:rsidR="00CF31B2" w:rsidRPr="00CF31B2" w14:paraId="326765F7" w14:textId="77777777" w:rsidTr="008C58DD">
        <w:trPr>
          <w:jc w:val="center"/>
        </w:trPr>
        <w:tc>
          <w:tcPr>
            <w:tcW w:w="0" w:type="auto"/>
            <w:vMerge/>
            <w:vAlign w:val="center"/>
          </w:tcPr>
          <w:p w14:paraId="64C94885" w14:textId="77777777" w:rsidR="00CF31B2" w:rsidRPr="00CF31B2" w:rsidRDefault="00CF31B2" w:rsidP="002C6531">
            <w:pPr>
              <w:ind w:firstLineChars="0" w:firstLine="0"/>
              <w:jc w:val="center"/>
              <w:rPr>
                <w:rFonts w:ascii="Times New Roman" w:hAnsi="Times New Roman"/>
                <w:iCs/>
                <w:sz w:val="18"/>
                <w:szCs w:val="18"/>
              </w:rPr>
            </w:pPr>
          </w:p>
        </w:tc>
        <w:tc>
          <w:tcPr>
            <w:tcW w:w="0" w:type="auto"/>
            <w:vAlign w:val="center"/>
          </w:tcPr>
          <w:p w14:paraId="18F0110D" w14:textId="77777777" w:rsidR="00CF31B2" w:rsidRPr="00CF31B2" w:rsidRDefault="00CF31B2" w:rsidP="002C6531">
            <w:pPr>
              <w:ind w:firstLineChars="0" w:firstLine="0"/>
              <w:jc w:val="center"/>
              <w:rPr>
                <w:rFonts w:ascii="Times New Roman" w:hAnsi="Times New Roman"/>
                <w:i/>
                <w:sz w:val="18"/>
                <w:szCs w:val="18"/>
              </w:rPr>
            </w:pPr>
            <w:r w:rsidRPr="00CF31B2">
              <w:rPr>
                <w:rFonts w:ascii="Times New Roman" w:hAnsi="Times New Roman" w:hint="eastAsia"/>
                <w:i/>
                <w:sz w:val="18"/>
                <w:szCs w:val="18"/>
              </w:rPr>
              <w:t>Pgdp</w:t>
            </w:r>
          </w:p>
        </w:tc>
        <w:tc>
          <w:tcPr>
            <w:tcW w:w="0" w:type="auto"/>
            <w:vAlign w:val="center"/>
          </w:tcPr>
          <w:p w14:paraId="4CCAE76E" w14:textId="77777777" w:rsidR="00CF31B2" w:rsidRPr="00CF31B2" w:rsidRDefault="00CF31B2" w:rsidP="002C6531">
            <w:pPr>
              <w:ind w:firstLineChars="0" w:firstLine="0"/>
              <w:jc w:val="center"/>
              <w:rPr>
                <w:rFonts w:ascii="Times New Roman" w:hAnsi="Times New Roman"/>
                <w:iCs/>
                <w:sz w:val="18"/>
                <w:szCs w:val="18"/>
              </w:rPr>
            </w:pPr>
            <w:r w:rsidRPr="00CF31B2">
              <w:rPr>
                <w:rFonts w:ascii="Times New Roman" w:hAnsi="Times New Roman" w:hint="eastAsia"/>
                <w:iCs/>
                <w:sz w:val="18"/>
                <w:szCs w:val="18"/>
              </w:rPr>
              <w:t>城市人均生产总值</w:t>
            </w:r>
          </w:p>
        </w:tc>
        <w:tc>
          <w:tcPr>
            <w:tcW w:w="0" w:type="auto"/>
            <w:vAlign w:val="center"/>
          </w:tcPr>
          <w:p w14:paraId="1F1D3A49"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iCs/>
                <w:sz w:val="18"/>
                <w:szCs w:val="18"/>
              </w:rPr>
              <w:t>城市人均生产总值的对数值</w:t>
            </w:r>
          </w:p>
        </w:tc>
      </w:tr>
      <w:tr w:rsidR="00CF31B2" w:rsidRPr="00CF31B2" w14:paraId="166A3663" w14:textId="77777777" w:rsidTr="008C58DD">
        <w:trPr>
          <w:jc w:val="center"/>
        </w:trPr>
        <w:tc>
          <w:tcPr>
            <w:tcW w:w="0" w:type="auto"/>
            <w:vMerge/>
          </w:tcPr>
          <w:p w14:paraId="43BF7FF5" w14:textId="77777777" w:rsidR="00CF31B2" w:rsidRPr="00CF31B2" w:rsidRDefault="00CF31B2" w:rsidP="002C6531">
            <w:pPr>
              <w:ind w:firstLineChars="0" w:firstLine="0"/>
              <w:jc w:val="center"/>
              <w:rPr>
                <w:rFonts w:ascii="Times New Roman" w:hAnsi="Times New Roman"/>
                <w:i/>
                <w:sz w:val="18"/>
                <w:szCs w:val="18"/>
              </w:rPr>
            </w:pPr>
          </w:p>
        </w:tc>
        <w:tc>
          <w:tcPr>
            <w:tcW w:w="0" w:type="auto"/>
            <w:vAlign w:val="center"/>
          </w:tcPr>
          <w:p w14:paraId="249CC1EE"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Sgdp</w:t>
            </w:r>
          </w:p>
        </w:tc>
        <w:tc>
          <w:tcPr>
            <w:tcW w:w="0" w:type="auto"/>
            <w:vAlign w:val="center"/>
          </w:tcPr>
          <w:p w14:paraId="2CC89ED4"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产业结构</w:t>
            </w:r>
          </w:p>
        </w:tc>
        <w:tc>
          <w:tcPr>
            <w:tcW w:w="0" w:type="auto"/>
            <w:vAlign w:val="center"/>
          </w:tcPr>
          <w:p w14:paraId="2781FCEA"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iCs/>
                <w:sz w:val="18"/>
                <w:szCs w:val="18"/>
              </w:rPr>
              <w:t>第二产业产业占</w:t>
            </w:r>
            <w:r w:rsidRPr="00CF31B2">
              <w:rPr>
                <w:rFonts w:ascii="Times New Roman" w:hAnsi="Times New Roman" w:hint="eastAsia"/>
                <w:iCs/>
                <w:sz w:val="18"/>
                <w:szCs w:val="18"/>
              </w:rPr>
              <w:t>GDP</w:t>
            </w:r>
            <w:r w:rsidRPr="00CF31B2">
              <w:rPr>
                <w:rFonts w:ascii="Times New Roman" w:hAnsi="Times New Roman" w:hint="eastAsia"/>
                <w:iCs/>
                <w:sz w:val="18"/>
                <w:szCs w:val="18"/>
              </w:rPr>
              <w:t>比重</w:t>
            </w:r>
          </w:p>
        </w:tc>
      </w:tr>
      <w:tr w:rsidR="00CF31B2" w:rsidRPr="00CF31B2" w14:paraId="2F584F03" w14:textId="77777777" w:rsidTr="008C58DD">
        <w:trPr>
          <w:jc w:val="center"/>
        </w:trPr>
        <w:tc>
          <w:tcPr>
            <w:tcW w:w="0" w:type="auto"/>
            <w:vMerge/>
          </w:tcPr>
          <w:p w14:paraId="03B53562" w14:textId="77777777" w:rsidR="00CF31B2" w:rsidRPr="00CF31B2" w:rsidRDefault="00CF31B2" w:rsidP="002C6531">
            <w:pPr>
              <w:ind w:firstLineChars="0" w:firstLine="0"/>
              <w:jc w:val="center"/>
              <w:rPr>
                <w:rFonts w:ascii="Times New Roman" w:hAnsi="Times New Roman"/>
                <w:i/>
                <w:iCs/>
                <w:sz w:val="18"/>
                <w:szCs w:val="18"/>
              </w:rPr>
            </w:pPr>
          </w:p>
        </w:tc>
        <w:tc>
          <w:tcPr>
            <w:tcW w:w="0" w:type="auto"/>
            <w:vAlign w:val="center"/>
          </w:tcPr>
          <w:p w14:paraId="59CD93AB"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Fdi</w:t>
            </w:r>
          </w:p>
        </w:tc>
        <w:tc>
          <w:tcPr>
            <w:tcW w:w="0" w:type="auto"/>
            <w:vAlign w:val="center"/>
          </w:tcPr>
          <w:p w14:paraId="3EA6E143"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外资竞争度</w:t>
            </w:r>
          </w:p>
        </w:tc>
        <w:tc>
          <w:tcPr>
            <w:tcW w:w="0" w:type="auto"/>
            <w:vAlign w:val="center"/>
          </w:tcPr>
          <w:p w14:paraId="231C8E86"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iCs/>
                <w:sz w:val="18"/>
                <w:szCs w:val="18"/>
              </w:rPr>
              <w:t>地区实际利用外资总额占全国实际利用外资总额之比</w:t>
            </w:r>
          </w:p>
        </w:tc>
      </w:tr>
      <w:tr w:rsidR="00CF31B2" w:rsidRPr="00CF31B2" w14:paraId="5FD33E54" w14:textId="77777777" w:rsidTr="008C58DD">
        <w:trPr>
          <w:jc w:val="center"/>
        </w:trPr>
        <w:tc>
          <w:tcPr>
            <w:tcW w:w="0" w:type="auto"/>
            <w:vMerge/>
          </w:tcPr>
          <w:p w14:paraId="69DBEC72" w14:textId="77777777" w:rsidR="00CF31B2" w:rsidRPr="00CF31B2" w:rsidRDefault="00CF31B2" w:rsidP="002C6531">
            <w:pPr>
              <w:ind w:firstLineChars="0" w:firstLine="0"/>
              <w:jc w:val="center"/>
              <w:rPr>
                <w:rFonts w:ascii="Times New Roman" w:hAnsi="Times New Roman"/>
                <w:i/>
                <w:iCs/>
                <w:sz w:val="18"/>
                <w:szCs w:val="18"/>
              </w:rPr>
            </w:pPr>
          </w:p>
        </w:tc>
        <w:tc>
          <w:tcPr>
            <w:tcW w:w="0" w:type="auto"/>
            <w:vAlign w:val="center"/>
          </w:tcPr>
          <w:p w14:paraId="350AC0C2"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Market</w:t>
            </w:r>
          </w:p>
        </w:tc>
        <w:tc>
          <w:tcPr>
            <w:tcW w:w="0" w:type="auto"/>
            <w:vAlign w:val="center"/>
          </w:tcPr>
          <w:p w14:paraId="7891A92A"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市场化指数</w:t>
            </w:r>
          </w:p>
        </w:tc>
        <w:tc>
          <w:tcPr>
            <w:tcW w:w="0" w:type="auto"/>
            <w:vAlign w:val="center"/>
          </w:tcPr>
          <w:p w14:paraId="0713B688"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市场化程度打分</w:t>
            </w:r>
          </w:p>
        </w:tc>
      </w:tr>
      <w:tr w:rsidR="00CF31B2" w:rsidRPr="00CF31B2" w14:paraId="7EF84F07" w14:textId="77777777" w:rsidTr="008C58DD">
        <w:trPr>
          <w:jc w:val="center"/>
        </w:trPr>
        <w:tc>
          <w:tcPr>
            <w:tcW w:w="0" w:type="auto"/>
            <w:vMerge/>
          </w:tcPr>
          <w:p w14:paraId="460AFDEC" w14:textId="77777777" w:rsidR="00CF31B2" w:rsidRPr="00CF31B2" w:rsidRDefault="00CF31B2" w:rsidP="002C6531">
            <w:pPr>
              <w:ind w:firstLineChars="0" w:firstLine="0"/>
              <w:jc w:val="center"/>
              <w:rPr>
                <w:rFonts w:ascii="Times New Roman" w:hAnsi="Times New Roman"/>
                <w:i/>
                <w:iCs/>
                <w:sz w:val="18"/>
                <w:szCs w:val="18"/>
              </w:rPr>
            </w:pPr>
          </w:p>
        </w:tc>
        <w:tc>
          <w:tcPr>
            <w:tcW w:w="0" w:type="auto"/>
            <w:vAlign w:val="center"/>
          </w:tcPr>
          <w:p w14:paraId="2EBC25AB"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i/>
                <w:iCs/>
                <w:sz w:val="18"/>
                <w:szCs w:val="18"/>
              </w:rPr>
              <w:t>Pop</w:t>
            </w:r>
          </w:p>
        </w:tc>
        <w:tc>
          <w:tcPr>
            <w:tcW w:w="0" w:type="auto"/>
            <w:vAlign w:val="center"/>
          </w:tcPr>
          <w:p w14:paraId="02FDF049"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人口规模</w:t>
            </w:r>
          </w:p>
        </w:tc>
        <w:tc>
          <w:tcPr>
            <w:tcW w:w="0" w:type="auto"/>
            <w:vAlign w:val="center"/>
          </w:tcPr>
          <w:p w14:paraId="62F7C7DB"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sz w:val="18"/>
                <w:szCs w:val="18"/>
              </w:rPr>
              <w:t>城市期末人口的对数值</w:t>
            </w:r>
          </w:p>
        </w:tc>
      </w:tr>
      <w:tr w:rsidR="00CF31B2" w:rsidRPr="00CF31B2" w14:paraId="4A6E2CC5" w14:textId="77777777" w:rsidTr="008C58DD">
        <w:trPr>
          <w:jc w:val="center"/>
        </w:trPr>
        <w:tc>
          <w:tcPr>
            <w:tcW w:w="0" w:type="auto"/>
            <w:vMerge/>
          </w:tcPr>
          <w:p w14:paraId="16FCAD8A" w14:textId="77777777" w:rsidR="00CF31B2" w:rsidRPr="00CF31B2" w:rsidRDefault="00CF31B2" w:rsidP="002C6531">
            <w:pPr>
              <w:ind w:firstLineChars="0" w:firstLine="0"/>
              <w:jc w:val="center"/>
              <w:rPr>
                <w:rFonts w:ascii="Times New Roman" w:hAnsi="Times New Roman"/>
                <w:i/>
                <w:iCs/>
                <w:sz w:val="18"/>
                <w:szCs w:val="18"/>
              </w:rPr>
            </w:pPr>
          </w:p>
        </w:tc>
        <w:tc>
          <w:tcPr>
            <w:tcW w:w="0" w:type="auto"/>
            <w:vAlign w:val="center"/>
          </w:tcPr>
          <w:p w14:paraId="769A537B" w14:textId="77777777" w:rsidR="00CF31B2" w:rsidRPr="00CF31B2" w:rsidRDefault="00CF31B2" w:rsidP="002C6531">
            <w:pPr>
              <w:ind w:firstLineChars="0" w:firstLine="0"/>
              <w:jc w:val="center"/>
              <w:rPr>
                <w:rFonts w:ascii="Times New Roman" w:hAnsi="Times New Roman"/>
                <w:i/>
                <w:iCs/>
                <w:sz w:val="18"/>
                <w:szCs w:val="18"/>
              </w:rPr>
            </w:pPr>
            <w:r w:rsidRPr="00CF31B2">
              <w:rPr>
                <w:rFonts w:ascii="Times New Roman" w:hAnsi="Times New Roman" w:hint="eastAsia"/>
                <w:i/>
                <w:sz w:val="18"/>
                <w:szCs w:val="18"/>
              </w:rPr>
              <w:t>Ftd</w:t>
            </w:r>
          </w:p>
        </w:tc>
        <w:tc>
          <w:tcPr>
            <w:tcW w:w="0" w:type="auto"/>
            <w:vAlign w:val="center"/>
          </w:tcPr>
          <w:p w14:paraId="19819969" w14:textId="77777777" w:rsidR="00CF31B2" w:rsidRPr="00CF31B2" w:rsidRDefault="00CF31B2" w:rsidP="002C6531">
            <w:pPr>
              <w:ind w:firstLineChars="0" w:firstLine="0"/>
              <w:jc w:val="center"/>
              <w:rPr>
                <w:rFonts w:ascii="Times New Roman" w:hAnsi="Times New Roman"/>
                <w:sz w:val="18"/>
                <w:szCs w:val="18"/>
              </w:rPr>
            </w:pPr>
            <w:r w:rsidRPr="00CF31B2">
              <w:rPr>
                <w:rFonts w:ascii="Times New Roman" w:hAnsi="Times New Roman" w:hint="eastAsia"/>
                <w:iCs/>
                <w:sz w:val="18"/>
                <w:szCs w:val="18"/>
              </w:rPr>
              <w:t>外贸依存度</w:t>
            </w:r>
          </w:p>
        </w:tc>
        <w:tc>
          <w:tcPr>
            <w:tcW w:w="0" w:type="auto"/>
            <w:vAlign w:val="center"/>
          </w:tcPr>
          <w:p w14:paraId="1BE71136" w14:textId="77777777" w:rsidR="00CF31B2" w:rsidRPr="00CF31B2" w:rsidRDefault="00CF31B2" w:rsidP="002C6531">
            <w:pPr>
              <w:ind w:firstLineChars="0" w:firstLine="0"/>
              <w:rPr>
                <w:rFonts w:ascii="Times New Roman" w:hAnsi="Times New Roman"/>
                <w:sz w:val="18"/>
                <w:szCs w:val="18"/>
              </w:rPr>
            </w:pPr>
            <w:r w:rsidRPr="00CF31B2">
              <w:rPr>
                <w:rFonts w:ascii="Times New Roman" w:hAnsi="Times New Roman" w:hint="eastAsia"/>
                <w:iCs/>
                <w:sz w:val="18"/>
                <w:szCs w:val="18"/>
              </w:rPr>
              <w:t>城市进出口总额占</w:t>
            </w:r>
            <w:r w:rsidRPr="00CF31B2">
              <w:rPr>
                <w:rFonts w:ascii="Times New Roman" w:hAnsi="Times New Roman" w:hint="eastAsia"/>
                <w:iCs/>
                <w:sz w:val="18"/>
                <w:szCs w:val="18"/>
              </w:rPr>
              <w:t>GDP</w:t>
            </w:r>
            <w:r w:rsidRPr="00CF31B2">
              <w:rPr>
                <w:rFonts w:ascii="Times New Roman" w:hAnsi="Times New Roman" w:hint="eastAsia"/>
                <w:iCs/>
                <w:sz w:val="18"/>
                <w:szCs w:val="18"/>
              </w:rPr>
              <w:t>比重</w:t>
            </w:r>
          </w:p>
        </w:tc>
      </w:tr>
    </w:tbl>
    <w:p w14:paraId="1CE71F77" w14:textId="51B77417" w:rsidR="001B1D5C" w:rsidRDefault="001B1D5C" w:rsidP="001B1D5C">
      <w:pPr>
        <w:pStyle w:val="2"/>
        <w:spacing w:before="156" w:after="156"/>
        <w:ind w:firstLine="422"/>
      </w:pPr>
      <w:r>
        <w:rPr>
          <w:rFonts w:hint="eastAsia"/>
        </w:rPr>
        <w:t>（二）正文图</w:t>
      </w:r>
      <w:r>
        <w:rPr>
          <w:rFonts w:hint="eastAsia"/>
        </w:rPr>
        <w:t>1</w:t>
      </w:r>
    </w:p>
    <w:p w14:paraId="19E49BEE" w14:textId="2EA44DE7" w:rsidR="001B1D5C" w:rsidRDefault="001B1D5C" w:rsidP="002B48DA">
      <w:pPr>
        <w:widowControl/>
        <w:spacing w:line="300" w:lineRule="auto"/>
        <w:ind w:firstLine="420"/>
        <w:rPr>
          <w:rFonts w:cs="Times New Roman"/>
          <w:szCs w:val="21"/>
        </w:rPr>
      </w:pPr>
      <w:r w:rsidRPr="00063F22">
        <w:rPr>
          <w:rFonts w:cs="Times New Roman" w:hint="eastAsia"/>
          <w:szCs w:val="21"/>
        </w:rPr>
        <w:t>运行代码中的</w:t>
      </w:r>
      <w:r>
        <w:rPr>
          <w:rFonts w:cs="Times New Roman" w:hint="eastAsia"/>
          <w:szCs w:val="21"/>
        </w:rPr>
        <w:t>pre3</w:t>
      </w:r>
      <w:r w:rsidRPr="00063F22">
        <w:rPr>
          <w:rFonts w:cs="Times New Roman" w:hint="eastAsia"/>
          <w:szCs w:val="21"/>
        </w:rPr>
        <w:t>、</w:t>
      </w:r>
      <w:r>
        <w:rPr>
          <w:rFonts w:cs="Times New Roman" w:hint="eastAsia"/>
          <w:szCs w:val="21"/>
        </w:rPr>
        <w:t>pre</w:t>
      </w:r>
      <w:r w:rsidRPr="00063F22">
        <w:rPr>
          <w:rFonts w:cs="Times New Roman"/>
          <w:szCs w:val="21"/>
        </w:rPr>
        <w:t>2</w:t>
      </w:r>
      <w:r w:rsidRPr="00063F22">
        <w:rPr>
          <w:rFonts w:cs="Times New Roman" w:hint="eastAsia"/>
          <w:szCs w:val="21"/>
        </w:rPr>
        <w:t>、</w:t>
      </w:r>
      <w:r>
        <w:rPr>
          <w:rFonts w:cs="Times New Roman" w:hint="eastAsia"/>
          <w:szCs w:val="21"/>
        </w:rPr>
        <w:t>pre</w:t>
      </w:r>
      <w:r w:rsidRPr="00063F22">
        <w:rPr>
          <w:rFonts w:cs="Times New Roman"/>
          <w:szCs w:val="21"/>
        </w:rPr>
        <w:t>1</w:t>
      </w:r>
      <w:r w:rsidRPr="00063F22">
        <w:rPr>
          <w:rFonts w:cs="Times New Roman" w:hint="eastAsia"/>
          <w:szCs w:val="21"/>
        </w:rPr>
        <w:t>、</w:t>
      </w:r>
      <w:r w:rsidRPr="00063F22">
        <w:rPr>
          <w:rFonts w:cs="Times New Roman"/>
          <w:szCs w:val="21"/>
        </w:rPr>
        <w:t>current</w:t>
      </w:r>
      <w:r w:rsidRPr="00063F22">
        <w:rPr>
          <w:rFonts w:cs="Times New Roman" w:hint="eastAsia"/>
          <w:szCs w:val="21"/>
        </w:rPr>
        <w:t>、</w:t>
      </w:r>
      <w:r>
        <w:rPr>
          <w:rFonts w:cs="Times New Roman" w:hint="eastAsia"/>
          <w:szCs w:val="21"/>
        </w:rPr>
        <w:t>post</w:t>
      </w:r>
      <w:r w:rsidRPr="00063F22">
        <w:rPr>
          <w:rFonts w:cs="Times New Roman"/>
          <w:szCs w:val="21"/>
        </w:rPr>
        <w:t>1</w:t>
      </w:r>
      <w:r w:rsidRPr="00063F22">
        <w:rPr>
          <w:rFonts w:cs="Times New Roman" w:hint="eastAsia"/>
          <w:szCs w:val="21"/>
        </w:rPr>
        <w:t>、</w:t>
      </w:r>
      <w:r>
        <w:rPr>
          <w:rFonts w:cs="Times New Roman" w:hint="eastAsia"/>
          <w:szCs w:val="21"/>
        </w:rPr>
        <w:t>post</w:t>
      </w:r>
      <w:r w:rsidRPr="00063F22">
        <w:rPr>
          <w:rFonts w:cs="Times New Roman"/>
          <w:szCs w:val="21"/>
        </w:rPr>
        <w:t xml:space="preserve"> 2</w:t>
      </w:r>
      <w:r w:rsidRPr="00063F22">
        <w:rPr>
          <w:rFonts w:cs="Times New Roman" w:hint="eastAsia"/>
          <w:szCs w:val="21"/>
        </w:rPr>
        <w:t>、</w:t>
      </w:r>
      <w:r>
        <w:rPr>
          <w:rFonts w:cs="Times New Roman" w:hint="eastAsia"/>
          <w:szCs w:val="21"/>
        </w:rPr>
        <w:t>post</w:t>
      </w:r>
      <w:r w:rsidRPr="00063F22">
        <w:rPr>
          <w:rFonts w:cs="Times New Roman"/>
          <w:szCs w:val="21"/>
        </w:rPr>
        <w:t xml:space="preserve"> 3</w:t>
      </w:r>
      <w:r w:rsidRPr="00063F22">
        <w:rPr>
          <w:rFonts w:cs="Times New Roman" w:hint="eastAsia"/>
          <w:szCs w:val="21"/>
        </w:rPr>
        <w:t>分别</w:t>
      </w:r>
      <w:r>
        <w:rPr>
          <w:rFonts w:cs="Times New Roman" w:hint="eastAsia"/>
          <w:szCs w:val="21"/>
        </w:rPr>
        <w:t>指代</w:t>
      </w:r>
      <w:r w:rsidR="002B48DA">
        <w:rPr>
          <w:rFonts w:cs="Times New Roman" w:hint="eastAsia"/>
          <w:szCs w:val="21"/>
        </w:rPr>
        <w:t>相对政策实施当年（</w:t>
      </w:r>
      <w:r w:rsidR="002B48DA">
        <w:rPr>
          <w:rFonts w:cs="Times New Roman" w:hint="eastAsia"/>
          <w:szCs w:val="21"/>
        </w:rPr>
        <w:t>2018</w:t>
      </w:r>
      <w:r w:rsidR="002B48DA">
        <w:rPr>
          <w:rFonts w:cs="Times New Roman" w:hint="eastAsia"/>
          <w:szCs w:val="21"/>
        </w:rPr>
        <w:t>）的执行时间，与图</w:t>
      </w:r>
      <w:r w:rsidR="002B48DA">
        <w:rPr>
          <w:rFonts w:cs="Times New Roman" w:hint="eastAsia"/>
          <w:szCs w:val="21"/>
        </w:rPr>
        <w:t>1</w:t>
      </w:r>
      <w:r w:rsidR="002B48DA">
        <w:rPr>
          <w:rFonts w:cs="Times New Roman" w:hint="eastAsia"/>
          <w:szCs w:val="21"/>
        </w:rPr>
        <w:t>中的</w:t>
      </w:r>
      <w:r w:rsidR="002B48DA">
        <w:rPr>
          <w:rFonts w:cs="Times New Roman" w:hint="eastAsia"/>
          <w:szCs w:val="21"/>
        </w:rPr>
        <w:t>-3</w:t>
      </w:r>
      <w:r w:rsidR="002B48DA">
        <w:rPr>
          <w:rFonts w:cs="Times New Roman" w:hint="eastAsia"/>
          <w:szCs w:val="21"/>
        </w:rPr>
        <w:t>、</w:t>
      </w:r>
      <w:r w:rsidR="002B48DA">
        <w:rPr>
          <w:rFonts w:cs="Times New Roman" w:hint="eastAsia"/>
          <w:szCs w:val="21"/>
        </w:rPr>
        <w:t>-2</w:t>
      </w:r>
      <w:r w:rsidR="002B48DA">
        <w:rPr>
          <w:rFonts w:cs="Times New Roman" w:hint="eastAsia"/>
          <w:szCs w:val="21"/>
        </w:rPr>
        <w:t>、</w:t>
      </w:r>
      <w:r w:rsidR="002B48DA">
        <w:rPr>
          <w:rFonts w:cs="Times New Roman" w:hint="eastAsia"/>
          <w:szCs w:val="21"/>
        </w:rPr>
        <w:t>-1</w:t>
      </w:r>
      <w:r w:rsidR="002B48DA">
        <w:rPr>
          <w:rFonts w:cs="Times New Roman" w:hint="eastAsia"/>
          <w:szCs w:val="21"/>
        </w:rPr>
        <w:t>、</w:t>
      </w:r>
      <w:r w:rsidR="002B48DA">
        <w:rPr>
          <w:rFonts w:cs="Times New Roman" w:hint="eastAsia"/>
          <w:szCs w:val="21"/>
        </w:rPr>
        <w:t>0</w:t>
      </w:r>
      <w:r w:rsidR="002B48DA">
        <w:rPr>
          <w:rFonts w:cs="Times New Roman" w:hint="eastAsia"/>
          <w:szCs w:val="21"/>
        </w:rPr>
        <w:t>、</w:t>
      </w:r>
      <w:r w:rsidR="002B48DA">
        <w:rPr>
          <w:rFonts w:cs="Times New Roman" w:hint="eastAsia"/>
          <w:szCs w:val="21"/>
        </w:rPr>
        <w:t>1</w:t>
      </w:r>
      <w:r w:rsidR="002B48DA">
        <w:rPr>
          <w:rFonts w:cs="Times New Roman" w:hint="eastAsia"/>
          <w:szCs w:val="21"/>
        </w:rPr>
        <w:t>、</w:t>
      </w:r>
      <w:r w:rsidR="002B48DA">
        <w:rPr>
          <w:rFonts w:cs="Times New Roman" w:hint="eastAsia"/>
          <w:szCs w:val="21"/>
        </w:rPr>
        <w:t>2</w:t>
      </w:r>
      <w:r w:rsidR="002B48DA">
        <w:rPr>
          <w:rFonts w:cs="Times New Roman" w:hint="eastAsia"/>
          <w:szCs w:val="21"/>
        </w:rPr>
        <w:t>、</w:t>
      </w:r>
      <w:r w:rsidR="002B48DA">
        <w:rPr>
          <w:rFonts w:cs="Times New Roman" w:hint="eastAsia"/>
          <w:szCs w:val="21"/>
        </w:rPr>
        <w:t>3</w:t>
      </w:r>
      <w:r w:rsidR="002B48DA">
        <w:rPr>
          <w:rFonts w:cs="Times New Roman" w:hint="eastAsia"/>
          <w:szCs w:val="21"/>
        </w:rPr>
        <w:t>对应，如</w:t>
      </w:r>
      <w:r w:rsidR="002B48DA">
        <w:rPr>
          <w:rFonts w:cs="Times New Roman" w:hint="eastAsia"/>
          <w:szCs w:val="21"/>
        </w:rPr>
        <w:t>pre</w:t>
      </w:r>
      <w:r w:rsidR="002B48DA" w:rsidRPr="00063F22">
        <w:rPr>
          <w:rFonts w:cs="Times New Roman"/>
          <w:szCs w:val="21"/>
        </w:rPr>
        <w:t>1</w:t>
      </w:r>
      <w:r w:rsidR="002B48DA">
        <w:rPr>
          <w:rFonts w:cs="Times New Roman" w:hint="eastAsia"/>
          <w:szCs w:val="21"/>
        </w:rPr>
        <w:t>即为政策执行前</w:t>
      </w:r>
      <w:r w:rsidR="002B48DA">
        <w:rPr>
          <w:rFonts w:cs="Times New Roman" w:hint="eastAsia"/>
          <w:szCs w:val="21"/>
        </w:rPr>
        <w:t>1</w:t>
      </w:r>
      <w:r w:rsidR="002B48DA">
        <w:rPr>
          <w:rFonts w:cs="Times New Roman" w:hint="eastAsia"/>
          <w:szCs w:val="21"/>
        </w:rPr>
        <w:t>期，数据中已经删除了基期以避免共线性。</w:t>
      </w:r>
    </w:p>
    <w:p w14:paraId="51BB60A2" w14:textId="61FEE2C1" w:rsidR="001B1D5C" w:rsidRDefault="001B1D5C" w:rsidP="001B1D5C">
      <w:pPr>
        <w:pStyle w:val="2"/>
        <w:spacing w:before="156" w:after="156"/>
        <w:ind w:firstLine="422"/>
      </w:pPr>
      <w:r>
        <w:rPr>
          <w:rFonts w:hint="eastAsia"/>
        </w:rPr>
        <w:t>（三）正文表</w:t>
      </w:r>
      <w:r>
        <w:rPr>
          <w:rFonts w:hint="eastAsia"/>
        </w:rPr>
        <w:t>2</w:t>
      </w:r>
    </w:p>
    <w:p w14:paraId="62BCCBD2" w14:textId="77777777" w:rsidR="001B1D5C" w:rsidRDefault="001B1D5C" w:rsidP="001B1D5C">
      <w:pPr>
        <w:ind w:firstLine="420"/>
      </w:pPr>
      <w:r w:rsidRPr="00FA207A">
        <w:rPr>
          <w:rFonts w:hint="eastAsia"/>
          <w:color w:val="000000" w:themeColor="text1"/>
        </w:rPr>
        <w:t>废水、工业废气、固体废物污染强度的衡量依据《中国环境统计年鉴》，用洋垃圾进口对应废物类型所属行业的废水排放量来分别测度此类洋垃圾的污染排放强度，城市规模则以从业人数衡量。</w:t>
      </w:r>
      <w:r w:rsidRPr="004442CA">
        <w:rPr>
          <w:rFonts w:hint="eastAsia"/>
        </w:rPr>
        <w:t xml:space="preserve">  </w:t>
      </w:r>
      <w:r w:rsidRPr="004442CA">
        <w:rPr>
          <w:rFonts w:hint="eastAsia"/>
        </w:rPr>
        <w:t>如当进口洋垃圾类型为废纸时，本文则使用造纸及纸制品业的“三废”排放量近似代替废纸处理所产生的污染强度，又如当洋垃圾进口类型为废船（不含废航空母舰）时，则使用铁路、船舶、航空航天和其他运输设备制造业的“三废”排放量近似代替废船（不含废航空母舰）处理所产生的污染强度，此种做法虽然无法保证两者形成一一对应，但能近似体现该类型固体废物的污染排放强度。</w:t>
      </w:r>
    </w:p>
    <w:p w14:paraId="7FE42EA5" w14:textId="77777777" w:rsidR="001B1D5C" w:rsidRDefault="001B1D5C" w:rsidP="001B1D5C">
      <w:pPr>
        <w:ind w:firstLine="420"/>
      </w:pPr>
      <w:r w:rsidRPr="00FA207A">
        <w:rPr>
          <w:rFonts w:hint="eastAsia"/>
          <w:color w:val="000000" w:themeColor="text1"/>
        </w:rPr>
        <w:t>废水、工业废气、固体废物</w:t>
      </w:r>
      <w:r>
        <w:rPr>
          <w:rFonts w:hint="eastAsia"/>
        </w:rPr>
        <w:t>在日志的代码分别为</w:t>
      </w:r>
      <w:r w:rsidRPr="001B1D5C">
        <w:rPr>
          <w:i/>
          <w:iCs/>
        </w:rPr>
        <w:t>drainwater</w:t>
      </w:r>
      <w:r>
        <w:rPr>
          <w:rFonts w:hint="eastAsia"/>
        </w:rPr>
        <w:t>、</w:t>
      </w:r>
      <w:r w:rsidRPr="001B1D5C">
        <w:rPr>
          <w:i/>
          <w:iCs/>
        </w:rPr>
        <w:t>exhaust</w:t>
      </w:r>
      <w:r>
        <w:rPr>
          <w:rFonts w:hint="eastAsia"/>
        </w:rPr>
        <w:t>、</w:t>
      </w:r>
      <w:r w:rsidRPr="001B1D5C">
        <w:rPr>
          <w:i/>
          <w:iCs/>
        </w:rPr>
        <w:t>refuse</w:t>
      </w:r>
    </w:p>
    <w:p w14:paraId="51387D57" w14:textId="5B415933" w:rsidR="00BC0D81" w:rsidRDefault="00BC0D81" w:rsidP="001B1D5C">
      <w:pPr>
        <w:pStyle w:val="2"/>
        <w:spacing w:before="156" w:after="156"/>
        <w:ind w:firstLine="422"/>
      </w:pPr>
      <w:r>
        <w:rPr>
          <w:rFonts w:hint="eastAsia"/>
        </w:rPr>
        <w:t>（四）正文表</w:t>
      </w:r>
      <w:r>
        <w:rPr>
          <w:rFonts w:hint="eastAsia"/>
        </w:rPr>
        <w:t>3</w:t>
      </w:r>
    </w:p>
    <w:p w14:paraId="6D7EFD93" w14:textId="36948E70" w:rsidR="00BC0D81" w:rsidRPr="00BC0D81" w:rsidRDefault="00BC0D81" w:rsidP="00BC0D81">
      <w:pPr>
        <w:ind w:firstLine="420"/>
      </w:pPr>
      <w:r>
        <w:rPr>
          <w:rFonts w:hint="eastAsia"/>
        </w:rPr>
        <w:t>第三列，倾向得分匹配与</w:t>
      </w:r>
      <w:r>
        <w:rPr>
          <w:rFonts w:hint="eastAsia"/>
        </w:rPr>
        <w:t>DID</w:t>
      </w:r>
      <w:r>
        <w:rPr>
          <w:rFonts w:hint="eastAsia"/>
        </w:rPr>
        <w:t>方法的结合，在匹配过程中</w:t>
      </w:r>
      <w:r w:rsidRPr="00BC0D81">
        <w:rPr>
          <w:rFonts w:hint="eastAsia"/>
        </w:rPr>
        <w:t>使用逐年匹配的方式可能造成控制组不稳定的问题，从而导致估计结果偏误。</w:t>
      </w:r>
      <w:r>
        <w:rPr>
          <w:rFonts w:hint="eastAsia"/>
        </w:rPr>
        <w:t>故借鉴了</w:t>
      </w:r>
      <w:r w:rsidRPr="00BC0D81">
        <w:rPr>
          <w:rFonts w:hint="eastAsia"/>
        </w:rPr>
        <w:t>张鹏杨</w:t>
      </w:r>
      <w:r>
        <w:rPr>
          <w:rFonts w:hint="eastAsia"/>
        </w:rPr>
        <w:t>等（</w:t>
      </w:r>
      <w:r>
        <w:rPr>
          <w:rFonts w:hint="eastAsia"/>
        </w:rPr>
        <w:t>2023</w:t>
      </w:r>
      <w:r>
        <w:rPr>
          <w:rFonts w:hint="eastAsia"/>
        </w:rPr>
        <w:t>）的方法，</w:t>
      </w:r>
      <w:r w:rsidRPr="00BC0D81">
        <w:rPr>
          <w:rFonts w:hint="eastAsia"/>
        </w:rPr>
        <w:t>使用协变量平均值匹配的方式，求得协变量处理前期的均值，形成了由平均值组成的截面数据进行匹配。</w:t>
      </w:r>
    </w:p>
    <w:p w14:paraId="11D176F2" w14:textId="1F51319D" w:rsidR="001B1D5C" w:rsidRDefault="001B1D5C" w:rsidP="001B1D5C">
      <w:pPr>
        <w:pStyle w:val="2"/>
        <w:spacing w:before="156" w:after="156"/>
        <w:ind w:firstLine="422"/>
      </w:pPr>
      <w:r>
        <w:rPr>
          <w:rFonts w:hint="eastAsia"/>
        </w:rPr>
        <w:t>（</w:t>
      </w:r>
      <w:r w:rsidR="00BC0D81">
        <w:rPr>
          <w:rFonts w:hint="eastAsia"/>
        </w:rPr>
        <w:t>五</w:t>
      </w:r>
      <w:r>
        <w:rPr>
          <w:rFonts w:hint="eastAsia"/>
        </w:rPr>
        <w:t>）表</w:t>
      </w:r>
      <w:r>
        <w:rPr>
          <w:rFonts w:hint="eastAsia"/>
        </w:rPr>
        <w:t>4</w:t>
      </w:r>
      <w:r w:rsidR="00791E1D">
        <w:rPr>
          <w:rFonts w:hint="eastAsia"/>
        </w:rPr>
        <w:t>、</w:t>
      </w:r>
      <w:r w:rsidR="00791E1D" w:rsidRPr="00480240">
        <w:rPr>
          <w:rFonts w:hint="eastAsia"/>
        </w:rPr>
        <w:t>表</w:t>
      </w:r>
      <w:r w:rsidR="00791E1D">
        <w:rPr>
          <w:rFonts w:hint="eastAsia"/>
        </w:rPr>
        <w:t>5</w:t>
      </w:r>
      <w:r w:rsidR="00791E1D">
        <w:rPr>
          <w:rFonts w:hint="eastAsia"/>
        </w:rPr>
        <w:t>、</w:t>
      </w:r>
      <w:r w:rsidR="00791E1D" w:rsidRPr="00480240">
        <w:rPr>
          <w:rFonts w:hint="eastAsia"/>
        </w:rPr>
        <w:t>表</w:t>
      </w:r>
      <w:r w:rsidR="00791E1D">
        <w:rPr>
          <w:rFonts w:hint="eastAsia"/>
        </w:rPr>
        <w:t>6</w:t>
      </w:r>
    </w:p>
    <w:p w14:paraId="442F7B67" w14:textId="6C9DE4D9" w:rsidR="001B1D5C" w:rsidRDefault="001B1D5C" w:rsidP="001B1D5C">
      <w:pPr>
        <w:ind w:firstLine="420"/>
      </w:pPr>
      <w:r>
        <w:rPr>
          <w:rFonts w:hint="eastAsia"/>
        </w:rPr>
        <w:t>正文中已给予必要说明。</w:t>
      </w:r>
    </w:p>
    <w:p w14:paraId="1AB1DEF9" w14:textId="6652C046" w:rsidR="00791E1D" w:rsidRPr="00480240" w:rsidRDefault="00791E1D" w:rsidP="00791E1D">
      <w:pPr>
        <w:pStyle w:val="2"/>
        <w:spacing w:before="156" w:after="156"/>
        <w:ind w:firstLine="422"/>
      </w:pPr>
      <w:r>
        <w:rPr>
          <w:rFonts w:hint="eastAsia"/>
        </w:rPr>
        <w:t>（</w:t>
      </w:r>
      <w:r w:rsidR="00BC0D81">
        <w:rPr>
          <w:rFonts w:hint="eastAsia"/>
        </w:rPr>
        <w:t>六</w:t>
      </w:r>
      <w:r>
        <w:rPr>
          <w:rFonts w:hint="eastAsia"/>
        </w:rPr>
        <w:t>）正文</w:t>
      </w:r>
      <w:r w:rsidRPr="00480240">
        <w:rPr>
          <w:rFonts w:hint="eastAsia"/>
        </w:rPr>
        <w:t>表</w:t>
      </w:r>
      <w:r>
        <w:rPr>
          <w:rFonts w:hint="eastAsia"/>
        </w:rPr>
        <w:t>7</w:t>
      </w:r>
      <w:r w:rsidRPr="00480240">
        <w:rPr>
          <w:rFonts w:hint="eastAsia"/>
        </w:rPr>
        <w:t xml:space="preserve"> </w:t>
      </w:r>
    </w:p>
    <w:p w14:paraId="42C7B416" w14:textId="3FC60735" w:rsidR="001B1D5C" w:rsidRDefault="00791E1D" w:rsidP="00791E1D">
      <w:pPr>
        <w:ind w:firstLine="420"/>
      </w:pPr>
      <w:r>
        <w:rPr>
          <w:rFonts w:hint="eastAsia"/>
        </w:rPr>
        <w:t>*km_*</w:t>
      </w:r>
      <w:r>
        <w:rPr>
          <w:rFonts w:hint="eastAsia"/>
        </w:rPr>
        <w:t>为地理距离阈值变量，以</w:t>
      </w:r>
      <w:r>
        <w:rPr>
          <w:rFonts w:hint="eastAsia"/>
        </w:rPr>
        <w:t>km_50</w:t>
      </w:r>
      <w:r>
        <w:rPr>
          <w:rFonts w:hint="eastAsia"/>
        </w:rPr>
        <w:t>为例</w:t>
      </w:r>
      <w:r w:rsidR="00F64151">
        <w:rPr>
          <w:rFonts w:hint="eastAsia"/>
        </w:rPr>
        <w:t>，</w:t>
      </w:r>
      <w:r>
        <w:rPr>
          <w:rFonts w:hint="eastAsia"/>
        </w:rPr>
        <w:t>即在地理邻接关系的基础上，进一步增加非处理组城市处于任意处理城市的地理阈值联系。即在地理邻接关系的基础上，当非处理组城市处于任意处理城市</w:t>
      </w:r>
      <w:r>
        <w:rPr>
          <w:rFonts w:hint="eastAsia"/>
        </w:rPr>
        <w:t>50KM</w:t>
      </w:r>
      <w:r>
        <w:rPr>
          <w:rFonts w:hint="eastAsia"/>
        </w:rPr>
        <w:t>距离内的则赋值为</w:t>
      </w:r>
      <w:r>
        <w:rPr>
          <w:rFonts w:hint="eastAsia"/>
        </w:rPr>
        <w:t>1</w:t>
      </w:r>
      <w:r>
        <w:rPr>
          <w:rFonts w:hint="eastAsia"/>
        </w:rPr>
        <w:t>，否则为</w:t>
      </w:r>
      <w:r>
        <w:rPr>
          <w:rFonts w:hint="eastAsia"/>
        </w:rPr>
        <w:t>0</w:t>
      </w:r>
      <w:r>
        <w:rPr>
          <w:rFonts w:hint="eastAsia"/>
        </w:rPr>
        <w:t>。其中，</w:t>
      </w:r>
      <w:r>
        <w:rPr>
          <w:rFonts w:hint="eastAsia"/>
        </w:rPr>
        <w:t>km_150</w:t>
      </w:r>
      <w:r>
        <w:rPr>
          <w:rFonts w:hint="eastAsia"/>
        </w:rPr>
        <w:t>则表示处于处理组城市周边</w:t>
      </w:r>
      <w:r>
        <w:rPr>
          <w:rFonts w:hint="eastAsia"/>
        </w:rPr>
        <w:t>50km-150KM</w:t>
      </w:r>
      <w:r>
        <w:rPr>
          <w:rFonts w:hint="eastAsia"/>
        </w:rPr>
        <w:t>范围内的非处理组城市，以此类推。</w:t>
      </w:r>
    </w:p>
    <w:p w14:paraId="06B6569F" w14:textId="63B6E468" w:rsidR="00F26D00" w:rsidRDefault="00F26D00" w:rsidP="003F2EDD">
      <w:pPr>
        <w:pStyle w:val="2"/>
        <w:spacing w:before="156" w:after="156"/>
        <w:ind w:firstLine="422"/>
      </w:pPr>
      <w:r>
        <w:rPr>
          <w:rFonts w:hint="eastAsia"/>
        </w:rPr>
        <w:t>（</w:t>
      </w:r>
      <w:r w:rsidR="00BC0D81">
        <w:rPr>
          <w:rFonts w:hint="eastAsia"/>
        </w:rPr>
        <w:t>七</w:t>
      </w:r>
      <w:r>
        <w:rPr>
          <w:rFonts w:hint="eastAsia"/>
        </w:rPr>
        <w:t>）</w:t>
      </w:r>
      <w:r w:rsidRPr="00F26D00">
        <w:rPr>
          <w:rFonts w:hint="eastAsia"/>
        </w:rPr>
        <w:t>附录</w:t>
      </w:r>
      <w:r w:rsidRPr="00F26D00">
        <w:rPr>
          <w:rFonts w:hint="eastAsia"/>
        </w:rPr>
        <w:t>I</w:t>
      </w:r>
      <w:r w:rsidRPr="00F26D00">
        <w:rPr>
          <w:rFonts w:hint="eastAsia"/>
        </w:rPr>
        <w:t>：内生性检验：遗漏变量偏误</w:t>
      </w:r>
      <w:r w:rsidRPr="00F26D00">
        <w:rPr>
          <w:rFonts w:hint="eastAsia"/>
        </w:rPr>
        <w:t>Panel B</w:t>
      </w:r>
    </w:p>
    <w:p w14:paraId="5BBEA1B3" w14:textId="0776A976" w:rsidR="00F26D00" w:rsidRDefault="00F26D00" w:rsidP="00791E1D">
      <w:pPr>
        <w:ind w:firstLine="420"/>
      </w:pPr>
      <w:r>
        <w:rPr>
          <w:rFonts w:hint="eastAsia"/>
        </w:rPr>
        <w:t>主要</w:t>
      </w:r>
      <w:r w:rsidRPr="00F26D00">
        <w:rPr>
          <w:rFonts w:hint="eastAsia"/>
        </w:rPr>
        <w:t>借鉴</w:t>
      </w:r>
      <w:r w:rsidRPr="00F26D00">
        <w:rPr>
          <w:rFonts w:hint="eastAsia"/>
        </w:rPr>
        <w:t>Altonji et al.</w:t>
      </w:r>
      <w:r w:rsidRPr="00F26D00">
        <w:rPr>
          <w:rFonts w:hint="eastAsia"/>
        </w:rPr>
        <w:t>（</w:t>
      </w:r>
      <w:r w:rsidRPr="00F26D00">
        <w:rPr>
          <w:rFonts w:hint="eastAsia"/>
        </w:rPr>
        <w:t>2005</w:t>
      </w:r>
      <w:r w:rsidRPr="00F26D00">
        <w:rPr>
          <w:rFonts w:hint="eastAsia"/>
        </w:rPr>
        <w:t>）、王伟同（</w:t>
      </w:r>
      <w:r w:rsidRPr="00F26D00">
        <w:rPr>
          <w:rFonts w:hint="eastAsia"/>
        </w:rPr>
        <w:t>2019</w:t>
      </w:r>
      <w:r w:rsidRPr="00F26D00">
        <w:rPr>
          <w:rFonts w:hint="eastAsia"/>
        </w:rPr>
        <w:t>）的计算有限集回归系数和全集回归系数</w:t>
      </w:r>
      <w:r>
        <w:rPr>
          <w:rFonts w:hint="eastAsia"/>
        </w:rPr>
        <w:t>的比例，设主要计算方法如下：</w:t>
      </w:r>
    </w:p>
    <w:p w14:paraId="177F5572" w14:textId="23B0CE5A" w:rsidR="00F26D00" w:rsidRDefault="00F26D00" w:rsidP="00855497">
      <w:pPr>
        <w:ind w:firstLineChars="1800" w:firstLine="3780"/>
      </w:pPr>
      <m:oMath>
        <m:r>
          <w:rPr>
            <w:rFonts w:ascii="Cambria Math" w:hAnsi="Cambria Math"/>
          </w:rPr>
          <m:t>Rati</m:t>
        </m:r>
        <m:r>
          <w:rPr>
            <w:rFonts w:ascii="Cambria Math" w:hAnsi="Cambria Math" w:hint="eastAsia"/>
          </w:rPr>
          <m:t>o</m:t>
        </m:r>
        <m:r>
          <w:rPr>
            <w:rFonts w:ascii="Cambria Math" w:hAnsi="Cambria Math"/>
          </w:rPr>
          <m:t>=</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acc>
                      <m:accPr>
                        <m:ctrlPr>
                          <w:rPr>
                            <w:rFonts w:ascii="Cambria Math" w:hAnsi="Cambria Math"/>
                          </w:rPr>
                        </m:ctrlPr>
                      </m:accPr>
                      <m:e>
                        <m:r>
                          <w:rPr>
                            <w:rFonts w:ascii="Cambria Math" w:hAnsi="Cambria Math"/>
                          </w:rPr>
                          <m:t>β</m:t>
                        </m:r>
                      </m:e>
                    </m:acc>
                  </m:e>
                  <m:sup>
                    <m:r>
                      <w:rPr>
                        <w:rFonts w:ascii="Cambria Math" w:hAnsi="Cambria Math"/>
                      </w:rPr>
                      <m:t>F</m:t>
                    </m:r>
                  </m:sup>
                </m:sSup>
              </m:num>
              <m:den>
                <m:sSup>
                  <m:sSupPr>
                    <m:ctrlPr>
                      <w:rPr>
                        <w:rFonts w:ascii="Cambria Math" w:hAnsi="Cambria Math"/>
                      </w:rPr>
                    </m:ctrlPr>
                  </m:sSupPr>
                  <m:e>
                    <m:acc>
                      <m:accPr>
                        <m:ctrlPr>
                          <w:rPr>
                            <w:rFonts w:ascii="Cambria Math" w:hAnsi="Cambria Math"/>
                          </w:rPr>
                        </m:ctrlPr>
                      </m:accPr>
                      <m:e>
                        <m:r>
                          <w:rPr>
                            <w:rFonts w:ascii="Cambria Math" w:hAnsi="Cambria Math"/>
                          </w:rPr>
                          <m:t>β</m:t>
                        </m:r>
                      </m:e>
                    </m:acc>
                  </m:e>
                  <m:sup>
                    <m:r>
                      <w:rPr>
                        <w:rFonts w:ascii="Cambria Math" w:hAnsi="Cambria Math"/>
                      </w:rPr>
                      <m:t>R</m:t>
                    </m:r>
                  </m:sup>
                </m:sSup>
                <m:r>
                  <w:rPr>
                    <w:rFonts w:ascii="Cambria Math" w:hAnsi="Cambria Math"/>
                  </w:rPr>
                  <m:t>-</m:t>
                </m:r>
                <m:sSup>
                  <m:sSupPr>
                    <m:ctrlPr>
                      <w:rPr>
                        <w:rFonts w:ascii="Cambria Math" w:hAnsi="Cambria Math"/>
                      </w:rPr>
                    </m:ctrlPr>
                  </m:sSupPr>
                  <m:e>
                    <m:acc>
                      <m:accPr>
                        <m:ctrlPr>
                          <w:rPr>
                            <w:rFonts w:ascii="Cambria Math" w:hAnsi="Cambria Math"/>
                          </w:rPr>
                        </m:ctrlPr>
                      </m:accPr>
                      <m:e>
                        <m:r>
                          <w:rPr>
                            <w:rFonts w:ascii="Cambria Math" w:hAnsi="Cambria Math"/>
                          </w:rPr>
                          <m:t>β</m:t>
                        </m:r>
                      </m:e>
                    </m:acc>
                  </m:e>
                  <m:sup>
                    <m:r>
                      <w:rPr>
                        <w:rFonts w:ascii="Cambria Math" w:hAnsi="Cambria Math"/>
                      </w:rPr>
                      <m:t>F</m:t>
                    </m:r>
                  </m:sup>
                </m:sSup>
              </m:den>
            </m:f>
          </m:e>
        </m:d>
      </m:oMath>
      <w:r>
        <w:rPr>
          <w:rFonts w:hint="eastAsia"/>
        </w:rPr>
        <w:t xml:space="preserve">                     </w:t>
      </w:r>
      <w:r w:rsidR="00855497">
        <w:rPr>
          <w:rFonts w:hint="eastAsia"/>
        </w:rPr>
        <w:t xml:space="preserve">      </w:t>
      </w:r>
      <w:r>
        <w:rPr>
          <w:rFonts w:hint="eastAsia"/>
        </w:rPr>
        <w:t xml:space="preserve">                       </w:t>
      </w:r>
      <w:r>
        <w:rPr>
          <w:rFonts w:hint="eastAsia"/>
        </w:rPr>
        <w:t>（</w:t>
      </w:r>
      <w:r>
        <w:rPr>
          <w:rFonts w:hint="eastAsia"/>
        </w:rPr>
        <w:t>1</w:t>
      </w:r>
      <w:r>
        <w:rPr>
          <w:rFonts w:hint="eastAsia"/>
        </w:rPr>
        <w:t>）</w:t>
      </w:r>
    </w:p>
    <w:p w14:paraId="1A278F35" w14:textId="525168B1" w:rsidR="00F26D00" w:rsidRDefault="00F26D00" w:rsidP="00791E1D">
      <w:pPr>
        <w:ind w:firstLine="420"/>
      </w:pPr>
      <w:r>
        <w:rPr>
          <w:rFonts w:hint="eastAsia"/>
        </w:rPr>
        <w:t>其中</w:t>
      </w:r>
      <m:oMath>
        <m:sSup>
          <m:sSupPr>
            <m:ctrlPr>
              <w:rPr>
                <w:rFonts w:ascii="Cambria Math" w:hAnsi="Cambria Math"/>
              </w:rPr>
            </m:ctrlPr>
          </m:sSupPr>
          <m:e>
            <m:acc>
              <m:accPr>
                <m:ctrlPr>
                  <w:rPr>
                    <w:rFonts w:ascii="Cambria Math" w:hAnsi="Cambria Math"/>
                  </w:rPr>
                </m:ctrlPr>
              </m:accPr>
              <m:e>
                <m:r>
                  <w:rPr>
                    <w:rFonts w:ascii="Cambria Math" w:hAnsi="Cambria Math"/>
                  </w:rPr>
                  <m:t>β</m:t>
                </m:r>
              </m:e>
            </m:acc>
          </m:e>
          <m:sup>
            <m:r>
              <w:rPr>
                <w:rFonts w:ascii="Cambria Math" w:hAnsi="Cambria Math"/>
              </w:rPr>
              <m:t>F</m:t>
            </m:r>
          </m:sup>
        </m:sSup>
      </m:oMath>
      <w:r>
        <w:rPr>
          <w:rFonts w:hint="eastAsia"/>
        </w:rPr>
        <w:t>为全集回归系数，</w:t>
      </w:r>
      <m:oMath>
        <m:sSup>
          <m:sSupPr>
            <m:ctrlPr>
              <w:rPr>
                <w:rFonts w:ascii="Cambria Math" w:hAnsi="Cambria Math"/>
              </w:rPr>
            </m:ctrlPr>
          </m:sSupPr>
          <m:e>
            <m:acc>
              <m:accPr>
                <m:ctrlPr>
                  <w:rPr>
                    <w:rFonts w:ascii="Cambria Math" w:hAnsi="Cambria Math"/>
                  </w:rPr>
                </m:ctrlPr>
              </m:accPr>
              <m:e>
                <m:r>
                  <w:rPr>
                    <w:rFonts w:ascii="Cambria Math" w:hAnsi="Cambria Math"/>
                  </w:rPr>
                  <m:t>β</m:t>
                </m:r>
              </m:e>
            </m:acc>
          </m:e>
          <m:sup>
            <m:r>
              <w:rPr>
                <w:rFonts w:ascii="Cambria Math" w:hAnsi="Cambria Math"/>
              </w:rPr>
              <m:t>R</m:t>
            </m:r>
          </m:sup>
        </m:sSup>
      </m:oMath>
      <w:r>
        <w:rPr>
          <w:rFonts w:hint="eastAsia"/>
        </w:rPr>
        <w:t>为</w:t>
      </w:r>
      <w:r w:rsidRPr="00F26D00">
        <w:rPr>
          <w:rFonts w:hint="eastAsia"/>
        </w:rPr>
        <w:t>有限集回归系数</w:t>
      </w:r>
      <w:r>
        <w:rPr>
          <w:rFonts w:hint="eastAsia"/>
        </w:rPr>
        <w:t>。</w:t>
      </w:r>
    </w:p>
    <w:p w14:paraId="433687F5" w14:textId="1648216A" w:rsidR="003F2EDD" w:rsidRDefault="003F2EDD" w:rsidP="003F2EDD">
      <w:pPr>
        <w:pStyle w:val="2"/>
        <w:spacing w:before="156" w:after="156"/>
        <w:ind w:firstLine="422"/>
      </w:pPr>
      <w:r>
        <w:rPr>
          <w:rFonts w:hint="eastAsia"/>
        </w:rPr>
        <w:t>（</w:t>
      </w:r>
      <w:r w:rsidR="00BC0D81">
        <w:rPr>
          <w:rFonts w:hint="eastAsia"/>
        </w:rPr>
        <w:t>八</w:t>
      </w:r>
      <w:r>
        <w:rPr>
          <w:rFonts w:hint="eastAsia"/>
        </w:rPr>
        <w:t>）</w:t>
      </w:r>
      <w:r w:rsidR="00F10FB8" w:rsidRPr="00F10FB8">
        <w:rPr>
          <w:rFonts w:hint="eastAsia"/>
        </w:rPr>
        <w:t>附录</w:t>
      </w:r>
      <w:r w:rsidR="00F10FB8" w:rsidRPr="00F10FB8">
        <w:rPr>
          <w:rFonts w:hint="eastAsia"/>
        </w:rPr>
        <w:t>III</w:t>
      </w:r>
      <w:r w:rsidR="00F10FB8" w:rsidRPr="00F10FB8">
        <w:rPr>
          <w:rFonts w:hint="eastAsia"/>
        </w:rPr>
        <w:t>：</w:t>
      </w:r>
      <w:r>
        <w:rPr>
          <w:rFonts w:hint="eastAsia"/>
        </w:rPr>
        <w:t>莫兰散点图</w:t>
      </w:r>
    </w:p>
    <w:p w14:paraId="21BF577A" w14:textId="0A0F07D2" w:rsidR="003F2EDD" w:rsidRDefault="003F2EDD" w:rsidP="003F2EDD">
      <w:pPr>
        <w:ind w:firstLine="420"/>
      </w:pPr>
      <w:r>
        <w:rPr>
          <w:rFonts w:hint="eastAsia"/>
        </w:rPr>
        <w:t>分别使用了</w:t>
      </w:r>
      <w:r>
        <w:rPr>
          <w:rFonts w:hint="eastAsia"/>
        </w:rPr>
        <w:t>2012</w:t>
      </w:r>
      <w:r>
        <w:rPr>
          <w:rFonts w:hint="eastAsia"/>
        </w:rPr>
        <w:t>年和</w:t>
      </w:r>
      <w:r>
        <w:rPr>
          <w:rFonts w:hint="eastAsia"/>
        </w:rPr>
        <w:t>2019</w:t>
      </w:r>
      <w:r>
        <w:rPr>
          <w:rFonts w:hint="eastAsia"/>
        </w:rPr>
        <w:t>年的数据，由于为纵向排列，故在代码中分别为</w:t>
      </w:r>
      <w:r>
        <w:rPr>
          <w:rFonts w:hint="eastAsia"/>
        </w:rPr>
        <w:t>F</w:t>
      </w:r>
      <w:r>
        <w:rPr>
          <w:rFonts w:hint="eastAsia"/>
        </w:rPr>
        <w:t>列和</w:t>
      </w:r>
      <w:r>
        <w:rPr>
          <w:rFonts w:hint="eastAsia"/>
        </w:rPr>
        <w:t>M</w:t>
      </w:r>
      <w:r>
        <w:rPr>
          <w:rFonts w:hint="eastAsia"/>
        </w:rPr>
        <w:lastRenderedPageBreak/>
        <w:t>列</w:t>
      </w:r>
      <w:r w:rsidR="0086169C">
        <w:rPr>
          <w:rFonts w:hint="eastAsia"/>
        </w:rPr>
        <w:t>，为省级数据</w:t>
      </w:r>
      <w:r w:rsidR="00821C47">
        <w:rPr>
          <w:rFonts w:hint="eastAsia"/>
        </w:rPr>
        <w:t>，</w:t>
      </w:r>
      <w:r w:rsidR="00731C12">
        <w:rPr>
          <w:rFonts w:hint="eastAsia"/>
        </w:rPr>
        <w:t>权重的命名为</w:t>
      </w:r>
      <w:r w:rsidR="00731C12" w:rsidRPr="00731C12">
        <w:rPr>
          <w:rFonts w:hint="eastAsia"/>
          <w:i/>
          <w:iCs/>
        </w:rPr>
        <w:t>W</w:t>
      </w:r>
      <w:r w:rsidR="00731C12" w:rsidRPr="00821C47">
        <w:rPr>
          <w:rFonts w:hint="eastAsia"/>
        </w:rPr>
        <w:t>。</w:t>
      </w:r>
    </w:p>
    <w:p w14:paraId="382EE427" w14:textId="25F8F913" w:rsidR="00F10FB8" w:rsidRDefault="00F10FB8" w:rsidP="003F2EDD">
      <w:pPr>
        <w:ind w:firstLine="420"/>
      </w:pPr>
      <w:r>
        <w:rPr>
          <w:rFonts w:hint="eastAsia"/>
        </w:rPr>
        <w:t>四重差分的构建：</w:t>
      </w:r>
      <w:r w:rsidRPr="00F10FB8">
        <w:rPr>
          <w:rFonts w:hint="eastAsia"/>
        </w:rPr>
        <w:t>UC</w:t>
      </w:r>
      <w:r w:rsidRPr="00F10FB8">
        <w:rPr>
          <w:rFonts w:hint="eastAsia"/>
        </w:rPr>
        <w:t>表示处于城市群的虚拟变量、</w:t>
      </w:r>
      <w:r w:rsidRPr="00F10FB8">
        <w:rPr>
          <w:rFonts w:hint="eastAsia"/>
        </w:rPr>
        <w:t>pro4</w:t>
      </w:r>
      <w:r w:rsidRPr="00F10FB8">
        <w:rPr>
          <w:rFonts w:hint="eastAsia"/>
        </w:rPr>
        <w:t>表示处于中国回收产业报告中提及的洋垃圾集中省份虚拟变量</w:t>
      </w:r>
      <w:r w:rsidR="00326527">
        <w:rPr>
          <w:rFonts w:hint="eastAsia"/>
        </w:rPr>
        <w:t>。</w:t>
      </w:r>
    </w:p>
    <w:p w14:paraId="278604A4" w14:textId="581C02D9" w:rsidR="00326527" w:rsidRDefault="00326527" w:rsidP="00326527">
      <w:pPr>
        <w:pStyle w:val="2"/>
        <w:spacing w:before="156" w:after="156"/>
        <w:ind w:firstLine="422"/>
      </w:pPr>
      <w:r>
        <w:rPr>
          <w:rFonts w:hint="eastAsia"/>
        </w:rPr>
        <w:t>（</w:t>
      </w:r>
      <w:r w:rsidR="00BC0D81">
        <w:rPr>
          <w:rFonts w:hint="eastAsia"/>
        </w:rPr>
        <w:t>九</w:t>
      </w:r>
      <w:r>
        <w:rPr>
          <w:rFonts w:hint="eastAsia"/>
        </w:rPr>
        <w:t>）马尔科夫转移矩阵</w:t>
      </w:r>
    </w:p>
    <w:p w14:paraId="6ED55BD8" w14:textId="33443AC8" w:rsidR="00326527" w:rsidRPr="00326527" w:rsidRDefault="00326527" w:rsidP="00326527">
      <w:pPr>
        <w:ind w:firstLine="420"/>
      </w:pPr>
      <w:r>
        <w:rPr>
          <w:rFonts w:hint="eastAsia"/>
        </w:rPr>
        <w:t>代码和数据均通过</w:t>
      </w:r>
      <w:r>
        <w:rPr>
          <w:rFonts w:hint="eastAsia"/>
        </w:rPr>
        <w:t>MATLAN</w:t>
      </w:r>
      <w:r>
        <w:rPr>
          <w:rFonts w:hint="eastAsia"/>
        </w:rPr>
        <w:t>软件完成</w:t>
      </w:r>
      <w:r w:rsidR="00213586">
        <w:rPr>
          <w:rFonts w:hint="eastAsia"/>
        </w:rPr>
        <w:t>，</w:t>
      </w:r>
      <w:r w:rsidR="00332336">
        <w:rPr>
          <w:rFonts w:hint="eastAsia"/>
        </w:rPr>
        <w:t>代码相关</w:t>
      </w:r>
      <w:r w:rsidR="005F7ABF">
        <w:rPr>
          <w:rFonts w:hint="eastAsia"/>
        </w:rPr>
        <w:t>说明</w:t>
      </w:r>
      <w:r w:rsidR="00213586">
        <w:rPr>
          <w:rFonts w:hint="eastAsia"/>
        </w:rPr>
        <w:t>已标注在</w:t>
      </w:r>
      <w:r w:rsidR="00213586">
        <w:rPr>
          <w:rFonts w:hint="eastAsia"/>
        </w:rPr>
        <w:t>m</w:t>
      </w:r>
      <w:r w:rsidR="00213586">
        <w:rPr>
          <w:rFonts w:hint="eastAsia"/>
        </w:rPr>
        <w:t>文件中。</w:t>
      </w:r>
    </w:p>
    <w:sectPr w:rsidR="00326527" w:rsidRPr="0032652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9095B" w14:textId="77777777" w:rsidR="00C52260" w:rsidRDefault="00C52260" w:rsidP="004442CA">
      <w:pPr>
        <w:ind w:firstLine="420"/>
      </w:pPr>
      <w:r>
        <w:separator/>
      </w:r>
    </w:p>
  </w:endnote>
  <w:endnote w:type="continuationSeparator" w:id="0">
    <w:p w14:paraId="36502F56" w14:textId="77777777" w:rsidR="00C52260" w:rsidRDefault="00C52260" w:rsidP="004442CA">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2973" w14:textId="77777777" w:rsidR="0058050F" w:rsidRDefault="0058050F">
    <w:pPr>
      <w:pStyle w:val="af0"/>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6B05E" w14:textId="77777777" w:rsidR="0058050F" w:rsidRDefault="0058050F">
    <w:pPr>
      <w:pStyle w:val="af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BC1EC" w14:textId="77777777" w:rsidR="0058050F" w:rsidRDefault="0058050F">
    <w:pPr>
      <w:pStyle w:val="af0"/>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3A8F" w14:textId="77777777" w:rsidR="00C52260" w:rsidRDefault="00C52260" w:rsidP="004442CA">
      <w:pPr>
        <w:ind w:firstLine="420"/>
      </w:pPr>
      <w:r>
        <w:separator/>
      </w:r>
    </w:p>
  </w:footnote>
  <w:footnote w:type="continuationSeparator" w:id="0">
    <w:p w14:paraId="1289AF7A" w14:textId="77777777" w:rsidR="00C52260" w:rsidRDefault="00C52260" w:rsidP="004442CA">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FC036" w14:textId="77777777" w:rsidR="0058050F" w:rsidRDefault="0058050F">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6724C" w14:textId="77777777" w:rsidR="0058050F" w:rsidRDefault="0058050F">
    <w:pPr>
      <w:pStyle w:val="ae"/>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EBF9F" w14:textId="77777777" w:rsidR="0058050F" w:rsidRDefault="0058050F">
    <w:pPr>
      <w:pStyle w:val="ae"/>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75490"/>
    <w:rsid w:val="00050871"/>
    <w:rsid w:val="000556A8"/>
    <w:rsid w:val="000F432D"/>
    <w:rsid w:val="0011324C"/>
    <w:rsid w:val="00146DD7"/>
    <w:rsid w:val="00176E1D"/>
    <w:rsid w:val="001B1D5C"/>
    <w:rsid w:val="00211AF3"/>
    <w:rsid w:val="00213586"/>
    <w:rsid w:val="0022702D"/>
    <w:rsid w:val="0024189D"/>
    <w:rsid w:val="00256403"/>
    <w:rsid w:val="002B48DA"/>
    <w:rsid w:val="00326527"/>
    <w:rsid w:val="00332336"/>
    <w:rsid w:val="00350389"/>
    <w:rsid w:val="003F2EDD"/>
    <w:rsid w:val="0042712E"/>
    <w:rsid w:val="004442CA"/>
    <w:rsid w:val="004B2F99"/>
    <w:rsid w:val="004E163B"/>
    <w:rsid w:val="0058050F"/>
    <w:rsid w:val="005912C0"/>
    <w:rsid w:val="00593D55"/>
    <w:rsid w:val="005F7ABF"/>
    <w:rsid w:val="006006F3"/>
    <w:rsid w:val="006223BD"/>
    <w:rsid w:val="00633398"/>
    <w:rsid w:val="00684D36"/>
    <w:rsid w:val="00710EFC"/>
    <w:rsid w:val="0072290E"/>
    <w:rsid w:val="00727B29"/>
    <w:rsid w:val="00731C12"/>
    <w:rsid w:val="00751A20"/>
    <w:rsid w:val="00791E1D"/>
    <w:rsid w:val="007D376F"/>
    <w:rsid w:val="00821C47"/>
    <w:rsid w:val="00855497"/>
    <w:rsid w:val="0086169C"/>
    <w:rsid w:val="008B771A"/>
    <w:rsid w:val="008C3514"/>
    <w:rsid w:val="008C58DD"/>
    <w:rsid w:val="00A364E3"/>
    <w:rsid w:val="00A75490"/>
    <w:rsid w:val="00AB24FF"/>
    <w:rsid w:val="00AD2528"/>
    <w:rsid w:val="00AD2695"/>
    <w:rsid w:val="00B20C06"/>
    <w:rsid w:val="00B406E6"/>
    <w:rsid w:val="00B712FE"/>
    <w:rsid w:val="00BC0D81"/>
    <w:rsid w:val="00C03C8A"/>
    <w:rsid w:val="00C276B7"/>
    <w:rsid w:val="00C52260"/>
    <w:rsid w:val="00C63B99"/>
    <w:rsid w:val="00CE13AA"/>
    <w:rsid w:val="00CF31B2"/>
    <w:rsid w:val="00D01ADF"/>
    <w:rsid w:val="00D04AF7"/>
    <w:rsid w:val="00D4060B"/>
    <w:rsid w:val="00D5504C"/>
    <w:rsid w:val="00E5415A"/>
    <w:rsid w:val="00EA1EBC"/>
    <w:rsid w:val="00ED2893"/>
    <w:rsid w:val="00EF2AD0"/>
    <w:rsid w:val="00F10FB8"/>
    <w:rsid w:val="00F26D00"/>
    <w:rsid w:val="00F52DD1"/>
    <w:rsid w:val="00F64151"/>
    <w:rsid w:val="00F713EA"/>
    <w:rsid w:val="00FE6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11EB"/>
  <w15:chartTrackingRefBased/>
  <w15:docId w15:val="{CCF12DFE-BF75-4E60-80F3-1EDB1FBAD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504C"/>
    <w:pPr>
      <w:widowControl w:val="0"/>
      <w:ind w:firstLineChars="200" w:firstLine="200"/>
      <w:jc w:val="both"/>
    </w:pPr>
    <w:rPr>
      <w:rFonts w:eastAsia="仿宋"/>
    </w:rPr>
  </w:style>
  <w:style w:type="paragraph" w:styleId="1">
    <w:name w:val="heading 1"/>
    <w:basedOn w:val="a"/>
    <w:next w:val="a"/>
    <w:link w:val="10"/>
    <w:uiPriority w:val="9"/>
    <w:qFormat/>
    <w:rsid w:val="00AB24FF"/>
    <w:pPr>
      <w:keepNext/>
      <w:keepLines/>
      <w:spacing w:beforeLines="50" w:before="50" w:afterLines="50" w:after="50"/>
      <w:outlineLvl w:val="0"/>
    </w:pPr>
    <w:rPr>
      <w:rFonts w:cstheme="majorBidi"/>
      <w:b/>
      <w:sz w:val="24"/>
      <w:szCs w:val="48"/>
    </w:rPr>
  </w:style>
  <w:style w:type="paragraph" w:styleId="2">
    <w:name w:val="heading 2"/>
    <w:basedOn w:val="a"/>
    <w:next w:val="a"/>
    <w:link w:val="20"/>
    <w:uiPriority w:val="9"/>
    <w:unhideWhenUsed/>
    <w:qFormat/>
    <w:rsid w:val="001B1D5C"/>
    <w:pPr>
      <w:keepNext/>
      <w:keepLines/>
      <w:spacing w:beforeLines="50" w:before="50" w:afterLines="50" w:after="50"/>
      <w:outlineLvl w:val="1"/>
    </w:pPr>
    <w:rPr>
      <w:rFonts w:cstheme="majorBidi"/>
      <w:b/>
      <w:szCs w:val="40"/>
    </w:rPr>
  </w:style>
  <w:style w:type="paragraph" w:styleId="3">
    <w:name w:val="heading 3"/>
    <w:basedOn w:val="a"/>
    <w:next w:val="a"/>
    <w:link w:val="30"/>
    <w:uiPriority w:val="9"/>
    <w:semiHidden/>
    <w:unhideWhenUsed/>
    <w:qFormat/>
    <w:rsid w:val="00A75490"/>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A75490"/>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A75490"/>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A75490"/>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A75490"/>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A75490"/>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A75490"/>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B24FF"/>
    <w:rPr>
      <w:rFonts w:eastAsia="仿宋" w:cstheme="majorBidi"/>
      <w:b/>
      <w:sz w:val="24"/>
      <w:szCs w:val="48"/>
    </w:rPr>
  </w:style>
  <w:style w:type="character" w:customStyle="1" w:styleId="20">
    <w:name w:val="标题 2 字符"/>
    <w:basedOn w:val="a0"/>
    <w:link w:val="2"/>
    <w:uiPriority w:val="9"/>
    <w:rsid w:val="001B1D5C"/>
    <w:rPr>
      <w:rFonts w:eastAsia="仿宋" w:cstheme="majorBidi"/>
      <w:b/>
      <w:szCs w:val="40"/>
    </w:rPr>
  </w:style>
  <w:style w:type="character" w:customStyle="1" w:styleId="30">
    <w:name w:val="标题 3 字符"/>
    <w:basedOn w:val="a0"/>
    <w:link w:val="3"/>
    <w:uiPriority w:val="9"/>
    <w:semiHidden/>
    <w:rsid w:val="00A75490"/>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A75490"/>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A75490"/>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A75490"/>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A75490"/>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A75490"/>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A75490"/>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A7549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754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75490"/>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7549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75490"/>
    <w:pPr>
      <w:spacing w:before="160" w:after="160"/>
      <w:jc w:val="center"/>
    </w:pPr>
    <w:rPr>
      <w:i/>
      <w:iCs/>
      <w:color w:val="404040" w:themeColor="text1" w:themeTint="BF"/>
    </w:rPr>
  </w:style>
  <w:style w:type="character" w:customStyle="1" w:styleId="a8">
    <w:name w:val="引用 字符"/>
    <w:basedOn w:val="a0"/>
    <w:link w:val="a7"/>
    <w:uiPriority w:val="29"/>
    <w:rsid w:val="00A75490"/>
    <w:rPr>
      <w:i/>
      <w:iCs/>
      <w:color w:val="404040" w:themeColor="text1" w:themeTint="BF"/>
    </w:rPr>
  </w:style>
  <w:style w:type="paragraph" w:styleId="a9">
    <w:name w:val="List Paragraph"/>
    <w:basedOn w:val="a"/>
    <w:uiPriority w:val="34"/>
    <w:qFormat/>
    <w:rsid w:val="00A75490"/>
    <w:pPr>
      <w:ind w:left="720"/>
      <w:contextualSpacing/>
    </w:pPr>
  </w:style>
  <w:style w:type="character" w:styleId="aa">
    <w:name w:val="Intense Emphasis"/>
    <w:basedOn w:val="a0"/>
    <w:uiPriority w:val="21"/>
    <w:qFormat/>
    <w:rsid w:val="00A75490"/>
    <w:rPr>
      <w:i/>
      <w:iCs/>
      <w:color w:val="2F5496" w:themeColor="accent1" w:themeShade="BF"/>
    </w:rPr>
  </w:style>
  <w:style w:type="paragraph" w:styleId="ab">
    <w:name w:val="Intense Quote"/>
    <w:basedOn w:val="a"/>
    <w:next w:val="a"/>
    <w:link w:val="ac"/>
    <w:uiPriority w:val="30"/>
    <w:qFormat/>
    <w:rsid w:val="00A754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A75490"/>
    <w:rPr>
      <w:i/>
      <w:iCs/>
      <w:color w:val="2F5496" w:themeColor="accent1" w:themeShade="BF"/>
    </w:rPr>
  </w:style>
  <w:style w:type="character" w:styleId="ad">
    <w:name w:val="Intense Reference"/>
    <w:basedOn w:val="a0"/>
    <w:uiPriority w:val="32"/>
    <w:qFormat/>
    <w:rsid w:val="00A75490"/>
    <w:rPr>
      <w:b/>
      <w:bCs/>
      <w:smallCaps/>
      <w:color w:val="2F5496" w:themeColor="accent1" w:themeShade="BF"/>
      <w:spacing w:val="5"/>
    </w:rPr>
  </w:style>
  <w:style w:type="paragraph" w:styleId="ae">
    <w:name w:val="header"/>
    <w:basedOn w:val="a"/>
    <w:link w:val="af"/>
    <w:uiPriority w:val="99"/>
    <w:unhideWhenUsed/>
    <w:rsid w:val="004442CA"/>
    <w:pPr>
      <w:tabs>
        <w:tab w:val="center" w:pos="4153"/>
        <w:tab w:val="right" w:pos="8306"/>
      </w:tabs>
      <w:snapToGrid w:val="0"/>
      <w:jc w:val="center"/>
    </w:pPr>
    <w:rPr>
      <w:sz w:val="18"/>
      <w:szCs w:val="18"/>
    </w:rPr>
  </w:style>
  <w:style w:type="character" w:customStyle="1" w:styleId="af">
    <w:name w:val="页眉 字符"/>
    <w:basedOn w:val="a0"/>
    <w:link w:val="ae"/>
    <w:uiPriority w:val="99"/>
    <w:rsid w:val="004442CA"/>
    <w:rPr>
      <w:sz w:val="18"/>
      <w:szCs w:val="18"/>
    </w:rPr>
  </w:style>
  <w:style w:type="paragraph" w:styleId="af0">
    <w:name w:val="footer"/>
    <w:basedOn w:val="a"/>
    <w:link w:val="af1"/>
    <w:uiPriority w:val="99"/>
    <w:unhideWhenUsed/>
    <w:rsid w:val="004442CA"/>
    <w:pPr>
      <w:tabs>
        <w:tab w:val="center" w:pos="4153"/>
        <w:tab w:val="right" w:pos="8306"/>
      </w:tabs>
      <w:snapToGrid w:val="0"/>
      <w:jc w:val="left"/>
    </w:pPr>
    <w:rPr>
      <w:sz w:val="18"/>
      <w:szCs w:val="18"/>
    </w:rPr>
  </w:style>
  <w:style w:type="character" w:customStyle="1" w:styleId="af1">
    <w:name w:val="页脚 字符"/>
    <w:basedOn w:val="a0"/>
    <w:link w:val="af0"/>
    <w:uiPriority w:val="99"/>
    <w:rsid w:val="004442CA"/>
    <w:rPr>
      <w:sz w:val="18"/>
      <w:szCs w:val="18"/>
    </w:rPr>
  </w:style>
  <w:style w:type="paragraph" w:customStyle="1" w:styleId="21bc9c4b-6a32-43e5-beaa-fd2d792c5735">
    <w:name w:val="21bc9c4b-6a32-43e5-beaa-fd2d792c5735"/>
    <w:basedOn w:val="1"/>
    <w:next w:val="a"/>
    <w:link w:val="21bc9c4b-6a32-43e5-beaa-fd2d792c57350"/>
    <w:rsid w:val="004442CA"/>
    <w:pPr>
      <w:adjustRightInd w:val="0"/>
      <w:spacing w:before="0" w:after="0" w:line="288" w:lineRule="auto"/>
      <w:jc w:val="left"/>
    </w:pPr>
    <w:rPr>
      <w:rFonts w:ascii="微软雅黑" w:eastAsia="微软雅黑" w:hAnsi="微软雅黑" w:cstheme="minorBidi"/>
      <w:b w:val="0"/>
      <w:color w:val="000000"/>
      <w:kern w:val="44"/>
      <w:sz w:val="32"/>
      <w:szCs w:val="44"/>
    </w:rPr>
  </w:style>
  <w:style w:type="character" w:customStyle="1" w:styleId="21bc9c4b-6a32-43e5-beaa-fd2d792c57350">
    <w:name w:val="21bc9c4b-6a32-43e5-beaa-fd2d792c5735 字符"/>
    <w:basedOn w:val="a0"/>
    <w:link w:val="21bc9c4b-6a32-43e5-beaa-fd2d792c5735"/>
    <w:rsid w:val="004442CA"/>
    <w:rPr>
      <w:rFonts w:ascii="微软雅黑" w:eastAsia="微软雅黑" w:hAnsi="微软雅黑"/>
      <w:b/>
      <w:color w:val="000000"/>
      <w:kern w:val="44"/>
      <w:sz w:val="32"/>
      <w:szCs w:val="44"/>
    </w:rPr>
  </w:style>
  <w:style w:type="table" w:styleId="af2">
    <w:name w:val="Table Grid"/>
    <w:basedOn w:val="a1"/>
    <w:uiPriority w:val="59"/>
    <w:qFormat/>
    <w:rsid w:val="00CF31B2"/>
    <w:rPr>
      <w:rFonts w:asciiTheme="minorHAnsi" w:eastAsiaTheme="minorEastAsia" w:hAnsiTheme="minorHAns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图标标题1"/>
    <w:basedOn w:val="a"/>
    <w:link w:val="12"/>
    <w:qFormat/>
    <w:rsid w:val="00791E1D"/>
    <w:pPr>
      <w:ind w:firstLineChars="0" w:firstLine="0"/>
      <w:jc w:val="center"/>
    </w:pPr>
    <w:rPr>
      <w:rFonts w:ascii="仿宋_GB2312" w:eastAsia="黑体"/>
      <w:sz w:val="18"/>
      <w:szCs w:val="32"/>
      <w:lang w:eastAsia="en-US"/>
    </w:rPr>
  </w:style>
  <w:style w:type="character" w:customStyle="1" w:styleId="12">
    <w:name w:val="图标标题1 字符"/>
    <w:basedOn w:val="a0"/>
    <w:link w:val="11"/>
    <w:rsid w:val="00791E1D"/>
    <w:rPr>
      <w:rFonts w:ascii="仿宋_GB2312" w:eastAsia="黑体"/>
      <w:sz w:val="18"/>
      <w:szCs w:val="32"/>
      <w:lang w:eastAsia="en-US"/>
    </w:rPr>
  </w:style>
  <w:style w:type="character" w:styleId="af3">
    <w:name w:val="Hyperlink"/>
    <w:basedOn w:val="a0"/>
    <w:uiPriority w:val="99"/>
    <w:unhideWhenUsed/>
    <w:rsid w:val="000F432D"/>
    <w:rPr>
      <w:color w:val="0563C1" w:themeColor="hyperlink"/>
      <w:u w:val="single"/>
    </w:rPr>
  </w:style>
  <w:style w:type="character" w:styleId="af4">
    <w:name w:val="Unresolved Mention"/>
    <w:basedOn w:val="a0"/>
    <w:uiPriority w:val="99"/>
    <w:semiHidden/>
    <w:unhideWhenUsed/>
    <w:rsid w:val="000F4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390</Words>
  <Characters>2228</Characters>
  <Application>Microsoft Office Word</Application>
  <DocSecurity>0</DocSecurity>
  <Lines>18</Lines>
  <Paragraphs>5</Paragraphs>
  <ScaleCrop>false</ScaleCrop>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ye</dc:creator>
  <cp:keywords/>
  <dc:description/>
  <cp:lastModifiedBy>hao ye</cp:lastModifiedBy>
  <cp:revision>46</cp:revision>
  <dcterms:created xsi:type="dcterms:W3CDTF">2025-02-22T19:57:00Z</dcterms:created>
  <dcterms:modified xsi:type="dcterms:W3CDTF">2025-06-05T08:56:00Z</dcterms:modified>
</cp:coreProperties>
</file>