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b/>
          <w:color w:val="000000" w:themeColor="text1"/>
          <w:sz w:val="32"/>
          <w:szCs w:val="32"/>
          <w14:textFill>
            <w14:solidFill>
              <w14:schemeClr w14:val="tx1"/>
            </w14:solidFill>
          </w14:textFill>
        </w:rPr>
      </w:pPr>
      <w:bookmarkStart w:id="4" w:name="_GoBack"/>
      <w:bookmarkEnd w:id="4"/>
      <w:r>
        <w:rPr>
          <w:rFonts w:hint="eastAsia" w:ascii="仿宋" w:hAnsi="仿宋" w:eastAsia="仿宋"/>
          <w:b/>
          <w:color w:val="000000" w:themeColor="text1"/>
          <w:sz w:val="32"/>
          <w:szCs w:val="32"/>
          <w14:textFill>
            <w14:solidFill>
              <w14:schemeClr w14:val="tx1"/>
            </w14:solidFill>
          </w14:textFill>
        </w:rPr>
        <w:t>跨国关联交易、制度差异与外商投资企业绩效</w:t>
      </w:r>
    </w:p>
    <w:p>
      <w:pPr>
        <w:jc w:val="center"/>
        <w:rPr>
          <w:rFonts w:hint="eastAsia" w:ascii="黑体" w:hAnsi="黑体" w:eastAsia="黑体" w:cs="Times New Roman"/>
          <w:b/>
          <w:color w:val="000000" w:themeColor="text1"/>
          <w:szCs w:val="21"/>
          <w14:textFill>
            <w14:solidFill>
              <w14:schemeClr w14:val="tx1"/>
            </w14:solidFill>
          </w14:textFill>
        </w:rPr>
      </w:pPr>
    </w:p>
    <w:p>
      <w:pPr>
        <w:jc w:val="center"/>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王进猛</w:t>
      </w:r>
    </w:p>
    <w:p>
      <w:pPr>
        <w:pStyle w:val="19"/>
        <w:spacing w:line="240" w:lineRule="auto"/>
        <w:ind w:left="0" w:leftChars="0" w:firstLine="0" w:firstLineChars="0"/>
        <w:jc w:val="center"/>
        <w:rPr>
          <w:rFonts w:hint="eastAsia" w:ascii="仿宋" w:hAnsi="仿宋" w:eastAsia="仿宋" w:cs="仿宋"/>
          <w:b/>
          <w:bCs/>
          <w:sz w:val="28"/>
          <w:szCs w:val="28"/>
        </w:rPr>
      </w:pPr>
    </w:p>
    <w:p>
      <w:pPr>
        <w:pStyle w:val="19"/>
        <w:spacing w:line="240" w:lineRule="auto"/>
        <w:ind w:left="0" w:leftChars="0" w:firstLine="0" w:firstLineChars="0"/>
        <w:jc w:val="center"/>
        <w:rPr>
          <w:rFonts w:hint="eastAsia" w:ascii="仿宋" w:hAnsi="仿宋" w:eastAsia="仿宋" w:cs="仿宋"/>
          <w:b/>
          <w:bCs/>
          <w:sz w:val="28"/>
          <w:szCs w:val="28"/>
        </w:rPr>
      </w:pPr>
    </w:p>
    <w:p>
      <w:pPr>
        <w:pStyle w:val="19"/>
        <w:spacing w:line="240" w:lineRule="auto"/>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jc w:val="center"/>
        <w:rPr>
          <w:rFonts w:ascii="宋体" w:hAnsi="宋体" w:eastAsia="宋体"/>
        </w:rPr>
      </w:pPr>
      <w:r>
        <w:rPr>
          <w:rFonts w:hint="eastAsia"/>
        </w:rPr>
        <w:t xml:space="preserve"> </w:t>
      </w:r>
      <w:r>
        <w:t xml:space="preserve">                                      </w:t>
      </w:r>
    </w:p>
    <w:sdt>
      <w:sdtPr>
        <w:rPr>
          <w:rFonts w:asciiTheme="minorHAnsi" w:hAnsiTheme="minorHAnsi" w:eastAsiaTheme="minorEastAsia" w:cstheme="minorBidi"/>
          <w:color w:val="auto"/>
          <w:kern w:val="2"/>
          <w:sz w:val="21"/>
          <w:szCs w:val="22"/>
          <w:lang w:val="zh-CN"/>
        </w:rPr>
        <w:id w:val="104448843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8"/>
            <w:ind w:firstLine="4200" w:firstLineChars="2000"/>
            <w:rPr>
              <w:sz w:val="28"/>
              <w:szCs w:val="28"/>
            </w:rPr>
          </w:pPr>
        </w:p>
        <w:p>
          <w:pPr>
            <w:pStyle w:val="6"/>
            <w:tabs>
              <w:tab w:val="right" w:leader="dot" w:pos="8296"/>
            </w:tabs>
          </w:pPr>
          <w:r>
            <w:fldChar w:fldCharType="begin"/>
          </w:r>
          <w:r>
            <w:instrText xml:space="preserve"> TOC \o "1-3" \h \z \u </w:instrText>
          </w:r>
          <w:r>
            <w:fldChar w:fldCharType="separate"/>
          </w: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HYPERLINK \l "_Toc148644883"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 xml:space="preserve">附录I </w:t>
          </w:r>
          <w:r>
            <w:rPr>
              <w:rFonts w:hint="eastAsia" w:ascii="仿宋" w:hAnsi="仿宋" w:eastAsia="仿宋" w:cs="仿宋"/>
              <w:i w:val="0"/>
              <w:iCs w:val="0"/>
              <w:kern w:val="0"/>
              <w:sz w:val="22"/>
              <w:szCs w:val="22"/>
              <w:lang w:val="en-US" w:eastAsia="zh-CN"/>
            </w:rPr>
            <w:t xml:space="preserve"> </w:t>
          </w:r>
          <w:r>
            <w:rPr>
              <w:rFonts w:hint="eastAsia" w:ascii="仿宋" w:hAnsi="仿宋" w:eastAsia="仿宋" w:cs="仿宋"/>
              <w:i w:val="0"/>
              <w:iCs w:val="0"/>
              <w:kern w:val="0"/>
              <w:sz w:val="22"/>
              <w:szCs w:val="22"/>
            </w:rPr>
            <w:t>样本特征事实</w:t>
          </w:r>
          <w:r>
            <w:rPr>
              <w:rFonts w:hint="eastAsia" w:ascii="仿宋" w:hAnsi="仿宋" w:eastAsia="仿宋" w:cs="仿宋"/>
              <w:i w:val="0"/>
              <w:iCs w:val="0"/>
              <w:kern w:val="0"/>
              <w:sz w:val="22"/>
              <w:szCs w:val="22"/>
            </w:rPr>
            <w:tab/>
          </w:r>
          <w:r>
            <w:rPr>
              <w:rFonts w:hint="eastAsia" w:ascii="仿宋" w:hAnsi="仿宋" w:eastAsia="仿宋" w:cs="仿宋"/>
              <w:i w:val="0"/>
              <w:iCs w:val="0"/>
              <w:kern w:val="0"/>
              <w:sz w:val="22"/>
              <w:szCs w:val="22"/>
              <w:lang w:val="en-US" w:eastAsia="zh-CN"/>
            </w:rPr>
            <w:t>1</w:t>
          </w:r>
          <w:r>
            <w:rPr>
              <w:rFonts w:hint="eastAsia" w:ascii="仿宋" w:hAnsi="仿宋" w:eastAsia="仿宋" w:cs="仿宋"/>
              <w:i w:val="0"/>
              <w:iCs w:val="0"/>
              <w:kern w:val="0"/>
              <w:sz w:val="22"/>
              <w:szCs w:val="22"/>
            </w:rPr>
            <w:fldChar w:fldCharType="end"/>
          </w:r>
        </w:p>
        <w:p>
          <w:pPr>
            <w:pStyle w:val="6"/>
            <w:tabs>
              <w:tab w:val="right" w:leader="dot" w:pos="8296"/>
            </w:tabs>
          </w:pPr>
          <w:r>
            <w:rPr>
              <w:rFonts w:hint="eastAsia" w:ascii="仿宋" w:hAnsi="仿宋" w:eastAsia="仿宋" w:cs="仿宋"/>
              <w:i w:val="0"/>
              <w:iCs w:val="0"/>
              <w:kern w:val="0"/>
              <w:sz w:val="22"/>
              <w:szCs w:val="22"/>
            </w:rPr>
            <w:fldChar w:fldCharType="begin"/>
          </w:r>
          <w:r>
            <w:rPr>
              <w:rFonts w:hint="eastAsia" w:ascii="仿宋" w:hAnsi="仿宋" w:eastAsia="仿宋" w:cs="仿宋"/>
              <w:i w:val="0"/>
              <w:iCs w:val="0"/>
              <w:kern w:val="0"/>
              <w:sz w:val="22"/>
              <w:szCs w:val="22"/>
            </w:rPr>
            <w:instrText xml:space="preserve"> HYPERLINK \l "_Toc148644884" </w:instrText>
          </w:r>
          <w:r>
            <w:rPr>
              <w:rFonts w:hint="eastAsia" w:ascii="仿宋" w:hAnsi="仿宋" w:eastAsia="仿宋" w:cs="仿宋"/>
              <w:i w:val="0"/>
              <w:iCs w:val="0"/>
              <w:kern w:val="0"/>
              <w:sz w:val="22"/>
              <w:szCs w:val="22"/>
            </w:rPr>
            <w:fldChar w:fldCharType="separate"/>
          </w:r>
          <w:r>
            <w:rPr>
              <w:rFonts w:hint="eastAsia" w:ascii="仿宋" w:hAnsi="仿宋" w:eastAsia="仿宋" w:cs="仿宋"/>
              <w:i w:val="0"/>
              <w:iCs w:val="0"/>
              <w:kern w:val="0"/>
              <w:sz w:val="22"/>
              <w:szCs w:val="22"/>
            </w:rPr>
            <w:t>附录II 稳健性检验</w:t>
          </w:r>
          <w:r>
            <w:rPr>
              <w:rFonts w:hint="eastAsia" w:ascii="仿宋" w:hAnsi="仿宋" w:eastAsia="仿宋" w:cs="仿宋"/>
              <w:i w:val="0"/>
              <w:iCs w:val="0"/>
              <w:kern w:val="0"/>
              <w:sz w:val="22"/>
              <w:szCs w:val="22"/>
            </w:rPr>
            <w:tab/>
          </w:r>
          <w:r>
            <w:rPr>
              <w:rFonts w:hint="eastAsia" w:ascii="仿宋" w:hAnsi="仿宋" w:eastAsia="仿宋" w:cs="仿宋"/>
              <w:i w:val="0"/>
              <w:iCs w:val="0"/>
              <w:kern w:val="0"/>
              <w:sz w:val="22"/>
              <w:szCs w:val="22"/>
              <w:lang w:val="en-US" w:eastAsia="zh-CN"/>
            </w:rPr>
            <w:t>2</w:t>
          </w:r>
          <w:r>
            <w:rPr>
              <w:rFonts w:hint="eastAsia" w:ascii="仿宋" w:hAnsi="仿宋" w:eastAsia="仿宋" w:cs="仿宋"/>
              <w:i w:val="0"/>
              <w:iCs w:val="0"/>
              <w:kern w:val="0"/>
              <w:sz w:val="22"/>
              <w:szCs w:val="22"/>
            </w:rPr>
            <w:fldChar w:fldCharType="end"/>
          </w:r>
        </w:p>
        <w:p>
          <w:r>
            <w:rPr>
              <w:b/>
              <w:bCs/>
              <w:lang w:val="zh-CN"/>
            </w:rPr>
            <w:fldChar w:fldCharType="end"/>
          </w:r>
        </w:p>
      </w:sdtContent>
    </w:sdt>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rPr>
          <w:rFonts w:ascii="Calibri" w:hAnsi="Calibri" w:cs="Calibri"/>
          <w:sz w:val="23"/>
          <w:szCs w:val="23"/>
        </w:rPr>
      </w:pPr>
    </w:p>
    <w:p>
      <w:pPr>
        <w:pStyle w:val="2"/>
        <w:rPr>
          <w:rFonts w:hint="eastAsia"/>
          <w:sz w:val="28"/>
          <w:szCs w:val="28"/>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bookmarkStart w:id="0" w:name="_Toc148644883"/>
    </w:p>
    <w:p>
      <w:pPr>
        <w:pStyle w:val="2"/>
        <w:jc w:val="center"/>
        <w:rPr>
          <w:rFonts w:hint="eastAsia" w:ascii="楷体" w:hAnsi="楷体" w:eastAsia="楷体" w:cs="楷体"/>
          <w:b w:val="0"/>
          <w:bCs w:val="0"/>
          <w:color w:val="0000CC"/>
          <w:sz w:val="28"/>
          <w:szCs w:val="28"/>
        </w:rPr>
      </w:pPr>
      <w:r>
        <w:rPr>
          <w:rFonts w:hint="eastAsia" w:ascii="楷体" w:hAnsi="楷体" w:eastAsia="楷体" w:cs="楷体"/>
          <w:b w:val="0"/>
          <w:bCs w:val="0"/>
          <w:sz w:val="28"/>
          <w:szCs w:val="28"/>
        </w:rPr>
        <w:t>附录I 样本特征事实</w:t>
      </w:r>
      <w:bookmarkEnd w:id="0"/>
    </w:p>
    <w:p>
      <w:pPr>
        <w:spacing w:line="276" w:lineRule="auto"/>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样本数据分析发现跨国关联交易越大，外资企业绩效越好。将跨国关联交易低于行业中位数的企业设定为低跨国关联交易组，将跨国关联交易高于行业中位数的企业设定为高跨国关联交易组。平均而言，相对于低跨国关联交易外资企业，高跨国关联交易的外资企业绩效更好。表</w:t>
      </w:r>
      <w:r>
        <w:rPr>
          <w:rFonts w:ascii="Times New Roman" w:hAnsi="Times New Roman" w:eastAsia="仿宋" w:cs="Times New Roman"/>
          <w:szCs w:val="21"/>
        </w:rPr>
        <w:t xml:space="preserve">I1 </w:t>
      </w:r>
      <w:r>
        <w:rPr>
          <w:rFonts w:hint="eastAsia" w:ascii="Times New Roman" w:hAnsi="Times New Roman" w:eastAsia="仿宋" w:cs="Times New Roman"/>
          <w:szCs w:val="21"/>
        </w:rPr>
        <w:t>列示了外资企业绩效差异具体情况。进一步比较资产报酬率均值发现，高跨国关联交易组的资产报酬率（R</w:t>
      </w:r>
      <w:r>
        <w:rPr>
          <w:rFonts w:ascii="Times New Roman" w:hAnsi="Times New Roman" w:eastAsia="仿宋" w:cs="Times New Roman"/>
          <w:szCs w:val="21"/>
        </w:rPr>
        <w:t>OA</w:t>
      </w:r>
      <w:r>
        <w:rPr>
          <w:rFonts w:hint="eastAsia" w:ascii="Times New Roman" w:hAnsi="Times New Roman" w:eastAsia="仿宋" w:cs="Times New Roman"/>
          <w:szCs w:val="21"/>
        </w:rPr>
        <w:t>）均值为</w:t>
      </w:r>
      <w:r>
        <w:rPr>
          <w:rFonts w:ascii="Times New Roman" w:hAnsi="Times New Roman" w:eastAsia="仿宋" w:cs="Times New Roman"/>
          <w:szCs w:val="21"/>
        </w:rPr>
        <w:t>0.054</w:t>
      </w:r>
      <w:r>
        <w:rPr>
          <w:rFonts w:hint="eastAsia" w:ascii="Times New Roman" w:hAnsi="Times New Roman" w:eastAsia="仿宋" w:cs="Times New Roman"/>
          <w:szCs w:val="21"/>
        </w:rPr>
        <w:t>，低跨国关联交易组的资产报酬率（R</w:t>
      </w:r>
      <w:r>
        <w:rPr>
          <w:rFonts w:ascii="Times New Roman" w:hAnsi="Times New Roman" w:eastAsia="仿宋" w:cs="Times New Roman"/>
          <w:szCs w:val="21"/>
        </w:rPr>
        <w:t>OA</w:t>
      </w:r>
      <w:r>
        <w:rPr>
          <w:rFonts w:hint="eastAsia" w:ascii="Times New Roman" w:hAnsi="Times New Roman" w:eastAsia="仿宋" w:cs="Times New Roman"/>
          <w:szCs w:val="21"/>
        </w:rPr>
        <w:t>）均值为</w:t>
      </w:r>
      <w:r>
        <w:rPr>
          <w:rFonts w:ascii="Times New Roman" w:hAnsi="Times New Roman" w:eastAsia="仿宋" w:cs="Times New Roman"/>
          <w:szCs w:val="21"/>
        </w:rPr>
        <w:t>0.027</w:t>
      </w:r>
      <w:r>
        <w:rPr>
          <w:rFonts w:hint="eastAsia" w:ascii="Times New Roman" w:hAnsi="Times New Roman" w:eastAsia="仿宋" w:cs="Times New Roman"/>
          <w:szCs w:val="21"/>
        </w:rPr>
        <w:t>，均值相差</w:t>
      </w:r>
      <w:r>
        <w:rPr>
          <w:rFonts w:ascii="Times New Roman" w:hAnsi="Times New Roman" w:eastAsia="仿宋" w:cs="Times New Roman"/>
          <w:szCs w:val="21"/>
        </w:rPr>
        <w:t>0.027</w:t>
      </w:r>
      <w:r>
        <w:rPr>
          <w:rFonts w:hint="eastAsia" w:ascii="Times New Roman" w:hAnsi="Times New Roman" w:eastAsia="仿宋" w:cs="Times New Roman"/>
          <w:szCs w:val="21"/>
        </w:rPr>
        <w:t>，具有统计显著性。说明跨国关联交易越大的外资企业盈利水平越高。我们将法律制度差异低于样本中位数的企业设定为低法律制度差异组，将法律制度差异高于样本中位数的企业设定为高法律制度差异组。在低法律制度差异情况下，高跨国关联交易组的资产报酬率比低跨国关联交易组的资产报酬率要大0</w:t>
      </w:r>
      <w:r>
        <w:rPr>
          <w:rFonts w:ascii="Times New Roman" w:hAnsi="Times New Roman" w:eastAsia="仿宋" w:cs="Times New Roman"/>
          <w:szCs w:val="21"/>
        </w:rPr>
        <w:t>.030</w:t>
      </w:r>
      <w:r>
        <w:rPr>
          <w:rFonts w:hint="eastAsia" w:ascii="Times New Roman" w:hAnsi="Times New Roman" w:eastAsia="仿宋" w:cs="Times New Roman"/>
          <w:szCs w:val="21"/>
        </w:rPr>
        <w:t>，具体显著差异。在高法律制度差异情况下，高跨国关联交易组的资产报酬率比低跨国关联交易组的资产报酬率要大0</w:t>
      </w:r>
      <w:r>
        <w:rPr>
          <w:rFonts w:ascii="Times New Roman" w:hAnsi="Times New Roman" w:eastAsia="仿宋" w:cs="Times New Roman"/>
          <w:szCs w:val="21"/>
        </w:rPr>
        <w:t>.025</w:t>
      </w:r>
      <w:r>
        <w:rPr>
          <w:rFonts w:hint="eastAsia" w:ascii="Times New Roman" w:hAnsi="Times New Roman" w:eastAsia="仿宋" w:cs="Times New Roman"/>
          <w:szCs w:val="21"/>
        </w:rPr>
        <w:t>，具体显著差异。随着法律制度差异增大，高跨国关联交易组与低跨国关联交易组的资产报酬率差异在减小。表明跨国关联交易对盈利的正面影响随着法律制度差异增大在减弱。</w:t>
      </w:r>
    </w:p>
    <w:p>
      <w:pPr>
        <w:spacing w:line="276" w:lineRule="auto"/>
        <w:ind w:firstLine="420" w:firstLineChars="200"/>
        <w:rPr>
          <w:rFonts w:hint="eastAsia" w:ascii="Times New Roman" w:hAnsi="Times New Roman" w:eastAsia="仿宋" w:cs="Times New Roman"/>
          <w:szCs w:val="21"/>
        </w:rPr>
      </w:pPr>
      <w:r>
        <w:rPr>
          <w:rFonts w:hint="eastAsia" w:ascii="Times New Roman" w:hAnsi="Times New Roman" w:eastAsia="仿宋" w:cs="Times New Roman"/>
          <w:szCs w:val="21"/>
        </w:rPr>
        <w:t>将文化差异低于样本中位数的企业设定为低文化差异组，将文化差异高于样本中位数的企业设定为高文化差异组。在低文化差异情况下，高跨国关联交易组的资产报酬率比低跨国关联交易组的资产报酬率要大0</w:t>
      </w:r>
      <w:r>
        <w:rPr>
          <w:rFonts w:ascii="Times New Roman" w:hAnsi="Times New Roman" w:eastAsia="仿宋" w:cs="Times New Roman"/>
          <w:szCs w:val="21"/>
        </w:rPr>
        <w:t>.024</w:t>
      </w:r>
      <w:r>
        <w:rPr>
          <w:rFonts w:hint="eastAsia" w:ascii="Times New Roman" w:hAnsi="Times New Roman" w:eastAsia="仿宋" w:cs="Times New Roman"/>
          <w:szCs w:val="21"/>
        </w:rPr>
        <w:t>，具体显著差异。在高文化差异情况下，高跨国关联交易组的资产报酬率比低跨国关联交易组的资产报酬率要大0</w:t>
      </w:r>
      <w:r>
        <w:rPr>
          <w:rFonts w:ascii="Times New Roman" w:hAnsi="Times New Roman" w:eastAsia="仿宋" w:cs="Times New Roman"/>
          <w:szCs w:val="21"/>
        </w:rPr>
        <w:t>.029</w:t>
      </w:r>
      <w:r>
        <w:rPr>
          <w:rFonts w:hint="eastAsia" w:ascii="Times New Roman" w:hAnsi="Times New Roman" w:eastAsia="仿宋" w:cs="Times New Roman"/>
          <w:szCs w:val="21"/>
        </w:rPr>
        <w:t>，具体显著差异。随着文化差异增大，高跨国关联交易组与低跨国关联交易组的资产报酬率差异在加大。表明跨国关联交易对盈利的正面影响随着文化差异增大在加强。</w:t>
      </w:r>
    </w:p>
    <w:p>
      <w:pPr>
        <w:spacing w:line="276" w:lineRule="auto"/>
        <w:ind w:firstLine="420" w:firstLineChars="200"/>
        <w:rPr>
          <w:rFonts w:hint="eastAsia" w:ascii="Times New Roman" w:hAnsi="Times New Roman" w:eastAsia="仿宋" w:cs="Times New Roman"/>
          <w:szCs w:val="21"/>
        </w:rPr>
      </w:pPr>
    </w:p>
    <w:p>
      <w:pPr>
        <w:spacing w:line="276" w:lineRule="auto"/>
        <w:ind w:firstLine="2811" w:firstLineChars="1400"/>
        <w:rPr>
          <w:rFonts w:hint="eastAsia" w:ascii="宋体" w:hAnsi="宋体" w:eastAsia="宋体" w:cs="宋体"/>
          <w:b/>
          <w:bCs/>
          <w:sz w:val="20"/>
          <w:szCs w:val="20"/>
        </w:rPr>
      </w:pPr>
      <w:r>
        <w:rPr>
          <w:rFonts w:hint="eastAsia" w:ascii="宋体" w:hAnsi="宋体" w:eastAsia="宋体" w:cs="宋体"/>
          <w:b/>
          <w:bCs/>
          <w:sz w:val="20"/>
          <w:szCs w:val="20"/>
        </w:rPr>
        <w:t>表I1  均值比较分析</w:t>
      </w:r>
    </w:p>
    <w:tbl>
      <w:tblPr>
        <w:tblStyle w:val="8"/>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0"/>
        <w:gridCol w:w="1362"/>
        <w:gridCol w:w="1362"/>
        <w:gridCol w:w="1312"/>
        <w:gridCol w:w="1224"/>
        <w:gridCol w:w="12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97" w:type="pct"/>
            <w:vMerge w:val="restart"/>
            <w:tcBorders>
              <w:top w:val="single" w:color="auto" w:sz="4" w:space="0"/>
            </w:tcBorders>
          </w:tcPr>
          <w:p>
            <w:pPr>
              <w:autoSpaceDE w:val="0"/>
              <w:autoSpaceDN w:val="0"/>
              <w:adjustRightInd w:val="0"/>
              <w:jc w:val="center"/>
              <w:rPr>
                <w:rFonts w:ascii="Times New Roman" w:hAnsi="Times New Roman" w:eastAsia="仿宋" w:cs="Times New Roman"/>
                <w:kern w:val="0"/>
                <w:sz w:val="18"/>
                <w:szCs w:val="18"/>
              </w:rPr>
            </w:pPr>
          </w:p>
        </w:tc>
        <w:tc>
          <w:tcPr>
            <w:tcW w:w="1598" w:type="pct"/>
            <w:gridSpan w:val="2"/>
            <w:tcBorders>
              <w:top w:val="single" w:color="auto" w:sz="4" w:space="0"/>
              <w:bottom w:val="single" w:color="auto" w:sz="4" w:space="0"/>
            </w:tcBorders>
          </w:tcPr>
          <w:p>
            <w:pPr>
              <w:autoSpaceDE w:val="0"/>
              <w:autoSpaceDN w:val="0"/>
              <w:adjustRightInd w:val="0"/>
              <w:ind w:firstLine="540" w:firstLineChars="30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高跨国关联交易组</w:t>
            </w:r>
          </w:p>
        </w:tc>
        <w:tc>
          <w:tcPr>
            <w:tcW w:w="1488" w:type="pct"/>
            <w:gridSpan w:val="2"/>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低跨国关联交易组</w:t>
            </w:r>
          </w:p>
        </w:tc>
        <w:tc>
          <w:tcPr>
            <w:tcW w:w="717" w:type="pct"/>
            <w:tcBorders>
              <w:top w:val="single" w:color="auto" w:sz="4" w:space="0"/>
              <w:bottom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两组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197" w:type="pct"/>
            <w:vMerge w:val="continue"/>
            <w:tcBorders>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p>
        </w:tc>
        <w:tc>
          <w:tcPr>
            <w:tcW w:w="799"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样本观察值</w:t>
            </w:r>
          </w:p>
        </w:tc>
        <w:tc>
          <w:tcPr>
            <w:tcW w:w="799"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均值</w:t>
            </w:r>
          </w:p>
        </w:tc>
        <w:tc>
          <w:tcPr>
            <w:tcW w:w="770"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样本观察值</w:t>
            </w:r>
          </w:p>
        </w:tc>
        <w:tc>
          <w:tcPr>
            <w:tcW w:w="718"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均值</w:t>
            </w:r>
          </w:p>
        </w:tc>
        <w:tc>
          <w:tcPr>
            <w:tcW w:w="717" w:type="pct"/>
            <w:tcBorders>
              <w:top w:val="nil"/>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均值差</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pct"/>
            <w:tcBorders>
              <w:top w:val="single" w:color="auto" w:sz="4" w:space="0"/>
              <w:bottom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i/>
                <w:kern w:val="0"/>
                <w:sz w:val="18"/>
                <w:szCs w:val="18"/>
              </w:rPr>
              <w:t>ROA</w:t>
            </w:r>
          </w:p>
        </w:tc>
        <w:tc>
          <w:tcPr>
            <w:tcW w:w="799" w:type="pct"/>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0144</w:t>
            </w:r>
          </w:p>
        </w:tc>
        <w:tc>
          <w:tcPr>
            <w:tcW w:w="799" w:type="pct"/>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.054</w:t>
            </w:r>
          </w:p>
        </w:tc>
        <w:tc>
          <w:tcPr>
            <w:tcW w:w="770" w:type="pct"/>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4</w:t>
            </w:r>
            <w:r>
              <w:rPr>
                <w:rFonts w:ascii="Times New Roman" w:hAnsi="Times New Roman" w:eastAsia="仿宋" w:cs="Times New Roman"/>
                <w:kern w:val="0"/>
                <w:sz w:val="18"/>
                <w:szCs w:val="18"/>
              </w:rPr>
              <w:t>9024</w:t>
            </w:r>
          </w:p>
        </w:tc>
        <w:tc>
          <w:tcPr>
            <w:tcW w:w="718" w:type="pct"/>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.027</w:t>
            </w:r>
          </w:p>
        </w:tc>
        <w:tc>
          <w:tcPr>
            <w:tcW w:w="717" w:type="pct"/>
            <w:tcBorders>
              <w:top w:val="single" w:color="auto" w:sz="4" w:space="0"/>
              <w:left w:val="nil"/>
              <w:bottom w:val="nil"/>
              <w:right w:val="nil"/>
            </w:tcBorders>
          </w:tcPr>
          <w:p>
            <w:pPr>
              <w:autoSpaceDE w:val="0"/>
              <w:autoSpaceDN w:val="0"/>
              <w:adjustRightInd w:val="0"/>
              <w:ind w:firstLine="180" w:firstLineChars="100"/>
              <w:rPr>
                <w:rFonts w:ascii="Times New Roman" w:hAnsi="Times New Roman"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.027</w:t>
            </w:r>
            <w:r>
              <w:rPr>
                <w:rFonts w:ascii="Times New Roman" w:hAnsi="Times New Roman" w:eastAsia="仿宋" w:cs="Times New Roman"/>
                <w:kern w:val="0"/>
                <w:sz w:val="18"/>
                <w:szCs w:val="18"/>
                <w:vertAlign w:val="superscript"/>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pct"/>
            <w:tcBorders>
              <w:top w:val="nil"/>
              <w:bottom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低法律制度差异</w:t>
            </w:r>
          </w:p>
        </w:tc>
        <w:tc>
          <w:tcPr>
            <w:tcW w:w="79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11603</w:t>
            </w:r>
          </w:p>
        </w:tc>
        <w:tc>
          <w:tcPr>
            <w:tcW w:w="79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.054</w:t>
            </w:r>
          </w:p>
        </w:tc>
        <w:tc>
          <w:tcPr>
            <w:tcW w:w="770"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3568</w:t>
            </w:r>
          </w:p>
        </w:tc>
        <w:tc>
          <w:tcPr>
            <w:tcW w:w="71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.024</w:t>
            </w:r>
          </w:p>
        </w:tc>
        <w:tc>
          <w:tcPr>
            <w:tcW w:w="717" w:type="pct"/>
            <w:tcBorders>
              <w:top w:val="nil"/>
              <w:left w:val="nil"/>
              <w:bottom w:val="nil"/>
              <w:right w:val="nil"/>
            </w:tcBorders>
          </w:tcPr>
          <w:p>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w:t>
            </w:r>
            <w:r>
              <w:rPr>
                <w:rFonts w:ascii="Times New Roman" w:hAnsi="Times New Roman" w:cs="Times New Roman"/>
                <w:kern w:val="0"/>
                <w:sz w:val="18"/>
                <w:szCs w:val="18"/>
              </w:rPr>
              <w:t>.030</w:t>
            </w:r>
            <w:r>
              <w:rPr>
                <w:rFonts w:ascii="Times New Roman" w:hAnsi="Times New Roman" w:eastAsia="仿宋" w:cs="Times New Roman"/>
                <w:kern w:val="0"/>
                <w:sz w:val="18"/>
                <w:szCs w:val="18"/>
                <w:vertAlign w:val="superscript"/>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pct"/>
            <w:tcBorders>
              <w:top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高法律制度差异</w:t>
            </w:r>
          </w:p>
        </w:tc>
        <w:tc>
          <w:tcPr>
            <w:tcW w:w="79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8541</w:t>
            </w:r>
          </w:p>
        </w:tc>
        <w:tc>
          <w:tcPr>
            <w:tcW w:w="79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.055</w:t>
            </w:r>
          </w:p>
        </w:tc>
        <w:tc>
          <w:tcPr>
            <w:tcW w:w="770"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5456</w:t>
            </w:r>
          </w:p>
        </w:tc>
        <w:tc>
          <w:tcPr>
            <w:tcW w:w="71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.030</w:t>
            </w:r>
          </w:p>
        </w:tc>
        <w:tc>
          <w:tcPr>
            <w:tcW w:w="717"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.025</w:t>
            </w:r>
            <w:r>
              <w:rPr>
                <w:rFonts w:ascii="Times New Roman" w:hAnsi="Times New Roman" w:eastAsia="仿宋" w:cs="Times New Roman"/>
                <w:kern w:val="0"/>
                <w:sz w:val="18"/>
                <w:szCs w:val="18"/>
                <w:vertAlign w:val="superscript"/>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pct"/>
            <w:tcBorders>
              <w:bottom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低文化差异</w:t>
            </w:r>
          </w:p>
        </w:tc>
        <w:tc>
          <w:tcPr>
            <w:tcW w:w="79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5283</w:t>
            </w:r>
          </w:p>
        </w:tc>
        <w:tc>
          <w:tcPr>
            <w:tcW w:w="799"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.051</w:t>
            </w:r>
          </w:p>
        </w:tc>
        <w:tc>
          <w:tcPr>
            <w:tcW w:w="770"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r>
              <w:rPr>
                <w:rFonts w:ascii="Times New Roman" w:hAnsi="Times New Roman" w:eastAsia="仿宋" w:cs="Times New Roman"/>
                <w:kern w:val="0"/>
                <w:sz w:val="18"/>
                <w:szCs w:val="18"/>
              </w:rPr>
              <w:t>7352</w:t>
            </w:r>
          </w:p>
        </w:tc>
        <w:tc>
          <w:tcPr>
            <w:tcW w:w="718"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.028</w:t>
            </w:r>
          </w:p>
        </w:tc>
        <w:tc>
          <w:tcPr>
            <w:tcW w:w="717" w:type="pct"/>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.024</w:t>
            </w:r>
            <w:r>
              <w:rPr>
                <w:rFonts w:ascii="Times New Roman" w:hAnsi="Times New Roman" w:eastAsia="仿宋" w:cs="Times New Roman"/>
                <w:kern w:val="0"/>
                <w:sz w:val="18"/>
                <w:szCs w:val="18"/>
                <w:vertAlign w:val="superscript"/>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pct"/>
            <w:tcBorders>
              <w:top w:val="nil"/>
              <w:bottom w:val="single" w:color="auto" w:sz="4" w:space="0"/>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高文化差异</w:t>
            </w:r>
          </w:p>
        </w:tc>
        <w:tc>
          <w:tcPr>
            <w:tcW w:w="799" w:type="pct"/>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1</w:t>
            </w:r>
            <w:r>
              <w:rPr>
                <w:rFonts w:ascii="Times New Roman" w:hAnsi="Times New Roman" w:eastAsia="仿宋" w:cs="Times New Roman"/>
                <w:kern w:val="0"/>
                <w:sz w:val="18"/>
                <w:szCs w:val="18"/>
              </w:rPr>
              <w:t>4861</w:t>
            </w:r>
          </w:p>
        </w:tc>
        <w:tc>
          <w:tcPr>
            <w:tcW w:w="799" w:type="pct"/>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0</w:t>
            </w:r>
            <w:r>
              <w:rPr>
                <w:rFonts w:ascii="Times New Roman" w:hAnsi="Times New Roman" w:eastAsia="仿宋" w:cs="Times New Roman"/>
                <w:kern w:val="0"/>
                <w:sz w:val="18"/>
                <w:szCs w:val="18"/>
              </w:rPr>
              <w:t>.055</w:t>
            </w:r>
          </w:p>
        </w:tc>
        <w:tc>
          <w:tcPr>
            <w:tcW w:w="770" w:type="pct"/>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21672</w:t>
            </w:r>
          </w:p>
        </w:tc>
        <w:tc>
          <w:tcPr>
            <w:tcW w:w="718" w:type="pct"/>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0.026</w:t>
            </w:r>
          </w:p>
        </w:tc>
        <w:tc>
          <w:tcPr>
            <w:tcW w:w="717" w:type="pct"/>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0.029</w:t>
            </w:r>
            <w:r>
              <w:rPr>
                <w:rFonts w:ascii="Times New Roman" w:hAnsi="Times New Roman" w:eastAsia="仿宋" w:cs="Times New Roman"/>
                <w:kern w:val="0"/>
                <w:sz w:val="18"/>
                <w:szCs w:val="18"/>
                <w:vertAlign w:val="superscript"/>
              </w:rPr>
              <w:t>***</w:t>
            </w:r>
          </w:p>
        </w:tc>
      </w:tr>
    </w:tbl>
    <w:p>
      <w:pPr>
        <w:spacing w:line="276" w:lineRule="auto"/>
        <w:rPr>
          <w:rFonts w:ascii="仿宋" w:hAnsi="仿宋" w:eastAsia="仿宋"/>
          <w:sz w:val="18"/>
          <w:szCs w:val="18"/>
        </w:rPr>
      </w:pPr>
      <w:r>
        <w:rPr>
          <w:rFonts w:ascii="Times New Roman" w:hAnsi="Times New Roman" w:eastAsia="仿宋" w:cs="Times New Roman"/>
          <w:sz w:val="18"/>
          <w:szCs w:val="18"/>
        </w:rPr>
        <w:t>注：</w:t>
      </w:r>
      <w:r>
        <w:rPr>
          <w:rFonts w:ascii="Times New Roman" w:hAnsi="Times New Roman" w:eastAsia="仿宋" w:cs="Times New Roman"/>
          <w:sz w:val="18"/>
          <w:szCs w:val="18"/>
          <w:vertAlign w:val="superscript"/>
        </w:rPr>
        <w:t>***、**、*</w:t>
      </w:r>
      <w:r>
        <w:rPr>
          <w:rFonts w:ascii="Times New Roman" w:hAnsi="Times New Roman" w:eastAsia="仿宋" w:cs="Times New Roman"/>
          <w:sz w:val="18"/>
          <w:szCs w:val="18"/>
        </w:rPr>
        <w:t>分别表示在1%、5%和10%水平上显著。</w:t>
      </w:r>
    </w:p>
    <w:p/>
    <w:p/>
    <w:p/>
    <w:p/>
    <w:p/>
    <w:p/>
    <w:p/>
    <w:p/>
    <w:p>
      <w:pPr>
        <w:pStyle w:val="2"/>
        <w:jc w:val="center"/>
        <w:rPr>
          <w:rFonts w:hint="eastAsia" w:ascii="楷体" w:hAnsi="楷体" w:eastAsia="楷体" w:cs="楷体"/>
          <w:b w:val="0"/>
          <w:bCs w:val="0"/>
          <w:sz w:val="28"/>
          <w:szCs w:val="28"/>
        </w:rPr>
      </w:pPr>
      <w:bookmarkStart w:id="1" w:name="_Toc148644884"/>
      <w:r>
        <w:rPr>
          <w:rFonts w:hint="eastAsia" w:ascii="楷体" w:hAnsi="楷体" w:eastAsia="楷体" w:cs="楷体"/>
          <w:b w:val="0"/>
          <w:bCs w:val="0"/>
          <w:sz w:val="28"/>
          <w:szCs w:val="28"/>
        </w:rPr>
        <w:t>附录II 稳健性检验</w:t>
      </w:r>
      <w:bookmarkEnd w:id="1"/>
    </w:p>
    <w:p>
      <w:pPr>
        <w:numPr>
          <w:ilvl w:val="0"/>
          <w:numId w:val="1"/>
        </w:numPr>
        <w:ind w:firstLine="420" w:firstLineChars="200"/>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考虑跨国关联出口交易对绩效影响</w:t>
      </w:r>
    </w:p>
    <w:p>
      <w:pPr>
        <w:numPr>
          <w:ilvl w:val="0"/>
          <w:numId w:val="0"/>
        </w:numPr>
        <w:ind w:firstLine="420" w:firstLineChars="200"/>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外资企业往往会向母公司及海外其他关联企业出口产品，形成</w:t>
      </w:r>
      <w:bookmarkStart w:id="2" w:name="OLE_LINK12"/>
      <w:bookmarkStart w:id="3" w:name="OLE_LINK13"/>
      <w:r>
        <w:rPr>
          <w:rFonts w:ascii="Times New Roman" w:hAnsi="Times New Roman" w:eastAsia="仿宋" w:cs="Times New Roman"/>
          <w:color w:val="000000" w:themeColor="text1"/>
          <w:szCs w:val="21"/>
          <w14:textFill>
            <w14:solidFill>
              <w14:schemeClr w14:val="tx1"/>
            </w14:solidFill>
          </w14:textFill>
        </w:rPr>
        <w:t>跨国关联出口交易（</w:t>
      </w:r>
      <w:r>
        <w:rPr>
          <w:rFonts w:ascii="Times New Roman" w:hAnsi="Times New Roman" w:eastAsia="仿宋" w:cs="Times New Roman"/>
          <w:i/>
          <w:color w:val="000000" w:themeColor="text1"/>
          <w:szCs w:val="21"/>
          <w14:textFill>
            <w14:solidFill>
              <w14:schemeClr w14:val="tx1"/>
            </w14:solidFill>
          </w14:textFill>
        </w:rPr>
        <w:t>Traderpexp</w:t>
      </w:r>
      <w:r>
        <w:rPr>
          <w:rFonts w:ascii="Times New Roman" w:hAnsi="Times New Roman" w:eastAsia="仿宋" w:cs="Times New Roman"/>
          <w:color w:val="000000" w:themeColor="text1"/>
          <w:szCs w:val="21"/>
          <w14:textFill>
            <w14:solidFill>
              <w14:schemeClr w14:val="tx1"/>
            </w14:solidFill>
          </w14:textFill>
        </w:rPr>
        <w:t>）</w:t>
      </w:r>
      <w:bookmarkEnd w:id="2"/>
      <w:bookmarkEnd w:id="3"/>
      <w:r>
        <w:rPr>
          <w:rFonts w:ascii="Times New Roman" w:hAnsi="Times New Roman" w:eastAsia="仿宋" w:cs="Times New Roman"/>
          <w:color w:val="000000" w:themeColor="text1"/>
          <w:szCs w:val="21"/>
          <w14:textFill>
            <w14:solidFill>
              <w14:schemeClr w14:val="tx1"/>
            </w14:solidFill>
          </w14:textFill>
        </w:rPr>
        <w:t>。跨国关联出口交易往往与跨国关联进口交易密切相关，早期进入中国投资的外资企业会通过跨国关联进口交易向母公司购买中间产品，然后通过跨国关联出口交易再将产品销售给母公司，而且通过跨国公司内部转移定价为产品计价。这可能会影响母公司向外资企业转移中间产品对绩效的作用结果。为了排除跨国关联出口交易对绩效的影响，我们在模型中加入跨国关联出口交易比重变量，跨国关联出口交易比重用外资企业出口到海外母公司及其它关联企业的销售额占总出口额的比例表示。在</w:t>
      </w:r>
      <w:r>
        <w:rPr>
          <w:rFonts w:hint="eastAsia" w:ascii="Times New Roman" w:hAnsi="Times New Roman" w:eastAsia="仿宋" w:cs="Times New Roman"/>
          <w:color w:val="000000" w:themeColor="text1"/>
          <w:szCs w:val="21"/>
          <w14:textFill>
            <w14:solidFill>
              <w14:schemeClr w14:val="tx1"/>
            </w14:solidFill>
          </w14:textFill>
        </w:rPr>
        <w:t>表</w:t>
      </w:r>
      <w:r>
        <w:rPr>
          <w:rFonts w:ascii="Times New Roman" w:hAnsi="Times New Roman" w:eastAsia="仿宋" w:cs="Times New Roman"/>
          <w:color w:val="000000" w:themeColor="text1"/>
          <w:szCs w:val="21"/>
          <w14:textFill>
            <w14:solidFill>
              <w14:schemeClr w14:val="tx1"/>
            </w14:solidFill>
          </w14:textFill>
        </w:rPr>
        <w:t>II1模型1-3中，跨国关联出口交易（</w:t>
      </w:r>
      <w:r>
        <w:rPr>
          <w:rFonts w:ascii="Times New Roman" w:hAnsi="Times New Roman" w:eastAsia="仿宋" w:cs="Times New Roman"/>
          <w:i/>
          <w:color w:val="000000" w:themeColor="text1"/>
          <w:szCs w:val="21"/>
          <w14:textFill>
            <w14:solidFill>
              <w14:schemeClr w14:val="tx1"/>
            </w14:solidFill>
          </w14:textFill>
        </w:rPr>
        <w:t>Traderpexp</w:t>
      </w:r>
      <w:r>
        <w:rPr>
          <w:rFonts w:ascii="Times New Roman" w:hAnsi="Times New Roman" w:eastAsia="仿宋" w:cs="Times New Roman"/>
          <w:color w:val="000000" w:themeColor="text1"/>
          <w:szCs w:val="21"/>
          <w14:textFill>
            <w14:solidFill>
              <w14:schemeClr w14:val="tx1"/>
            </w14:solidFill>
          </w14:textFill>
        </w:rPr>
        <w:t>）偏回归系数小于0，且通过显著性检验，表明外资企业向母公司及海外其他关联企业出口比例越大，绩效越低。在考虑跨国关联出口交易的影响后，</w:t>
      </w:r>
      <w:r>
        <w:rPr>
          <w:rFonts w:hint="eastAsia" w:ascii="Times New Roman" w:hAnsi="Times New Roman" w:eastAsia="仿宋" w:cs="Times New Roman"/>
          <w:color w:val="000000" w:themeColor="text1"/>
          <w:szCs w:val="21"/>
          <w14:textFill>
            <w14:solidFill>
              <w14:schemeClr w14:val="tx1"/>
            </w14:solidFill>
          </w14:textFill>
        </w:rPr>
        <w:t>表</w:t>
      </w:r>
      <w:r>
        <w:rPr>
          <w:rFonts w:ascii="Times New Roman" w:hAnsi="Times New Roman" w:eastAsia="仿宋" w:cs="Times New Roman"/>
          <w:color w:val="000000" w:themeColor="text1"/>
          <w:szCs w:val="21"/>
          <w14:textFill>
            <w14:solidFill>
              <w14:schemeClr w14:val="tx1"/>
            </w14:solidFill>
          </w14:textFill>
        </w:rPr>
        <w:t>II1模型1-3回归结果显示本文的假说仍然全部得到验证，结论不变。</w:t>
      </w:r>
    </w:p>
    <w:p>
      <w:pPr>
        <w:numPr>
          <w:ilvl w:val="0"/>
          <w:numId w:val="1"/>
        </w:numPr>
        <w:ind w:left="0" w:leftChars="0" w:firstLine="420" w:firstLineChars="200"/>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考虑特殊时间窗口的影响</w:t>
      </w:r>
    </w:p>
    <w:p>
      <w:pPr>
        <w:numPr>
          <w:ilvl w:val="0"/>
          <w:numId w:val="0"/>
        </w:numPr>
        <w:ind w:firstLine="420" w:firstLineChars="200"/>
      </w:pPr>
      <w:r>
        <w:rPr>
          <w:rFonts w:ascii="Times New Roman" w:hAnsi="Times New Roman" w:eastAsia="仿宋" w:cs="Times New Roman"/>
          <w:color w:val="000000" w:themeColor="text1"/>
          <w:szCs w:val="21"/>
          <w14:textFill>
            <w14:solidFill>
              <w14:schemeClr w14:val="tx1"/>
            </w14:solidFill>
          </w14:textFill>
        </w:rPr>
        <w:t>2008年美国次贷危机爆发，对跨国公司全球布局产生冲击，影响母公司向外资企业转移中间产品的规模。为了排除特殊时间窗口对外资企业绩效和跨国关联交易的影响。我们删除了2008年样本数据重新进行评估。回归结果见表</w:t>
      </w:r>
      <w:r>
        <w:rPr>
          <w:rFonts w:hint="eastAsia" w:ascii="Times New Roman" w:hAnsi="Times New Roman" w:eastAsia="仿宋" w:cs="Times New Roman"/>
          <w:color w:val="000000" w:themeColor="text1"/>
          <w:szCs w:val="21"/>
          <w14:textFill>
            <w14:solidFill>
              <w14:schemeClr w14:val="tx1"/>
            </w14:solidFill>
          </w14:textFill>
        </w:rPr>
        <w:t>表</w:t>
      </w:r>
      <w:r>
        <w:rPr>
          <w:rFonts w:ascii="Times New Roman" w:hAnsi="Times New Roman" w:eastAsia="仿宋" w:cs="Times New Roman"/>
          <w:color w:val="000000" w:themeColor="text1"/>
          <w:szCs w:val="21"/>
          <w14:textFill>
            <w14:solidFill>
              <w14:schemeClr w14:val="tx1"/>
            </w14:solidFill>
          </w14:textFill>
        </w:rPr>
        <w:t>II1模型4</w:t>
      </w:r>
      <w:r>
        <w:rPr>
          <w:rFonts w:hint="eastAsia" w:ascii="Times New Roman" w:hAnsi="Times New Roman" w:eastAsia="仿宋" w:cs="Times New Roman"/>
          <w:color w:val="000000" w:themeColor="text1"/>
          <w:szCs w:val="21"/>
          <w:lang w:val="en-US" w:eastAsia="zh-CN"/>
          <w14:textFill>
            <w14:solidFill>
              <w14:schemeClr w14:val="tx1"/>
            </w14:solidFill>
          </w14:textFill>
        </w:rPr>
        <w:t>至模型</w:t>
      </w:r>
      <w:r>
        <w:rPr>
          <w:rFonts w:ascii="Times New Roman" w:hAnsi="Times New Roman" w:eastAsia="仿宋" w:cs="Times New Roman"/>
          <w:color w:val="000000" w:themeColor="text1"/>
          <w:szCs w:val="21"/>
          <w14:textFill>
            <w14:solidFill>
              <w14:schemeClr w14:val="tx1"/>
            </w14:solidFill>
          </w14:textFill>
        </w:rPr>
        <w:t>6，结论仍然保持不变。</w:t>
      </w:r>
    </w:p>
    <w:p>
      <w:pPr>
        <w:rPr>
          <w:rFonts w:ascii="Times New Roman" w:hAnsi="Times New Roman" w:eastAsia="仿宋" w:cs="Times New Roman"/>
          <w:color w:val="000000" w:themeColor="text1"/>
          <w:szCs w:val="21"/>
          <w14:textFill>
            <w14:solidFill>
              <w14:schemeClr w14:val="tx1"/>
            </w14:solidFill>
          </w14:textFill>
        </w:rPr>
      </w:pPr>
    </w:p>
    <w:p>
      <w:pPr>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表</w:t>
      </w:r>
      <w:r>
        <w:rPr>
          <w:rFonts w:hint="eastAsia" w:ascii="宋体" w:hAnsi="宋体" w:eastAsia="宋体" w:cs="宋体"/>
          <w:b/>
          <w:bCs/>
          <w:sz w:val="20"/>
          <w:szCs w:val="20"/>
        </w:rPr>
        <w:t>II</w:t>
      </w:r>
      <w:r>
        <w:rPr>
          <w:rFonts w:hint="eastAsia" w:ascii="宋体" w:hAnsi="宋体" w:eastAsia="宋体" w:cs="宋体"/>
          <w:b/>
          <w:bCs/>
          <w:color w:val="000000" w:themeColor="text1"/>
          <w:sz w:val="20"/>
          <w:szCs w:val="20"/>
          <w14:textFill>
            <w14:solidFill>
              <w14:schemeClr w14:val="tx1"/>
            </w14:solidFill>
          </w14:textFill>
        </w:rPr>
        <w:t>1  稳健性检验</w:t>
      </w:r>
    </w:p>
    <w:tbl>
      <w:tblPr>
        <w:tblStyle w:val="8"/>
        <w:tblW w:w="6315"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2"/>
        <w:gridCol w:w="1025"/>
        <w:gridCol w:w="1020"/>
        <w:gridCol w:w="1038"/>
        <w:gridCol w:w="1046"/>
        <w:gridCol w:w="995"/>
        <w:gridCol w:w="1012"/>
        <w:gridCol w:w="1160"/>
        <w:gridCol w:w="1160"/>
        <w:gridCol w:w="100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05"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模型</w:t>
            </w:r>
          </w:p>
        </w:tc>
        <w:tc>
          <w:tcPr>
            <w:tcW w:w="476"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1</w:t>
            </w:r>
          </w:p>
        </w:tc>
        <w:tc>
          <w:tcPr>
            <w:tcW w:w="474"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2</w:t>
            </w:r>
          </w:p>
        </w:tc>
        <w:tc>
          <w:tcPr>
            <w:tcW w:w="482"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3</w:t>
            </w:r>
          </w:p>
        </w:tc>
        <w:tc>
          <w:tcPr>
            <w:tcW w:w="486"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4</w:t>
            </w:r>
          </w:p>
        </w:tc>
        <w:tc>
          <w:tcPr>
            <w:tcW w:w="462"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5</w:t>
            </w:r>
          </w:p>
        </w:tc>
        <w:tc>
          <w:tcPr>
            <w:tcW w:w="470"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6</w:t>
            </w:r>
          </w:p>
        </w:tc>
        <w:tc>
          <w:tcPr>
            <w:tcW w:w="539"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7</w:t>
            </w:r>
          </w:p>
        </w:tc>
        <w:tc>
          <w:tcPr>
            <w:tcW w:w="539"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8</w:t>
            </w:r>
          </w:p>
        </w:tc>
        <w:tc>
          <w:tcPr>
            <w:tcW w:w="467" w:type="pct"/>
            <w:tcBorders>
              <w:top w:val="single" w:color="auto" w:sz="4" w:space="0"/>
              <w:bottom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Borders>
              <w:top w:val="single" w:color="auto" w:sz="4" w:space="0"/>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Traderp</w:t>
            </w: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0.0080</w:t>
            </w:r>
            <w:r>
              <w:rPr>
                <w:rFonts w:ascii="Times New Roman" w:hAnsi="Times New Roman"/>
                <w:color w:val="000000" w:themeColor="text1"/>
                <w:kern w:val="0"/>
                <w:sz w:val="18"/>
                <w:szCs w:val="18"/>
                <w:vertAlign w:val="superscript"/>
                <w14:textFill>
                  <w14:solidFill>
                    <w14:schemeClr w14:val="tx1"/>
                  </w14:solidFill>
                </w14:textFill>
              </w:rPr>
              <w:t>***</w:t>
            </w: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0.0297</w:t>
            </w:r>
            <w:r>
              <w:rPr>
                <w:rFonts w:ascii="Times New Roman" w:hAnsi="Times New Roman"/>
                <w:color w:val="000000" w:themeColor="text1"/>
                <w:kern w:val="0"/>
                <w:sz w:val="18"/>
                <w:szCs w:val="18"/>
                <w:vertAlign w:val="superscript"/>
                <w14:textFill>
                  <w14:solidFill>
                    <w14:schemeClr w14:val="tx1"/>
                  </w14:solidFill>
                </w14:textFill>
              </w:rPr>
              <w:t>***</w:t>
            </w: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0.0020</w:t>
            </w: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0.0080</w:t>
            </w:r>
            <w:r>
              <w:rPr>
                <w:rFonts w:ascii="Times New Roman" w:hAnsi="Times New Roman"/>
                <w:color w:val="000000" w:themeColor="text1"/>
                <w:kern w:val="0"/>
                <w:sz w:val="18"/>
                <w:szCs w:val="18"/>
                <w:vertAlign w:val="superscript"/>
                <w14:textFill>
                  <w14:solidFill>
                    <w14:schemeClr w14:val="tx1"/>
                  </w14:solidFill>
                </w14:textFill>
              </w:rPr>
              <w:t>***</w:t>
            </w: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0.0318</w:t>
            </w:r>
            <w:r>
              <w:rPr>
                <w:rFonts w:ascii="Times New Roman" w:hAnsi="Times New Roman"/>
                <w:color w:val="000000" w:themeColor="text1"/>
                <w:kern w:val="0"/>
                <w:sz w:val="18"/>
                <w:szCs w:val="18"/>
                <w:vertAlign w:val="superscript"/>
                <w14:textFill>
                  <w14:solidFill>
                    <w14:schemeClr w14:val="tx1"/>
                  </w14:solidFill>
                </w14:textFill>
              </w:rPr>
              <w:t>***</w:t>
            </w: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-0.0000</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0.0060</w:t>
            </w:r>
            <w:r>
              <w:rPr>
                <w:rFonts w:ascii="Times New Roman" w:hAnsi="Times New Roman"/>
                <w:color w:val="000000" w:themeColor="text1"/>
                <w:kern w:val="0"/>
                <w:sz w:val="18"/>
                <w:szCs w:val="18"/>
                <w:vertAlign w:val="superscript"/>
                <w14:textFill>
                  <w14:solidFill>
                    <w14:schemeClr w14:val="tx1"/>
                  </w14:solidFill>
                </w14:textFill>
              </w:rPr>
              <w:t>***</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0.0274</w:t>
            </w:r>
            <w:r>
              <w:rPr>
                <w:rFonts w:ascii="Times New Roman" w:hAnsi="Times New Roman"/>
                <w:color w:val="000000" w:themeColor="text1"/>
                <w:kern w:val="0"/>
                <w:sz w:val="18"/>
                <w:szCs w:val="18"/>
                <w:vertAlign w:val="superscript"/>
                <w14:textFill>
                  <w14:solidFill>
                    <w14:schemeClr w14:val="tx1"/>
                  </w14:solidFill>
                </w14:textFill>
              </w:rPr>
              <w:t>***</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(0.0022)</w:t>
            </w: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(0.0031)</w:t>
            </w: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(0.0037)</w:t>
            </w: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(0.0022)</w:t>
            </w: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(0.0031)</w:t>
            </w: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(0.0038)</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(0.0021)</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(0.0029)</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(0.0037)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Traderp</w:t>
            </w: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-0.0058</w:t>
            </w:r>
            <w:r>
              <w:rPr>
                <w:rFonts w:ascii="Times New Roman" w:hAnsi="Times New Roman"/>
                <w:color w:val="000000" w:themeColor="text1"/>
                <w:kern w:val="0"/>
                <w:sz w:val="18"/>
                <w:szCs w:val="18"/>
                <w:vertAlign w:val="superscript"/>
                <w14:textFill>
                  <w14:solidFill>
                    <w14:schemeClr w14:val="tx1"/>
                  </w14:solidFill>
                </w14:textFill>
              </w:rPr>
              <w:t>***</w:t>
            </w: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-0.0062</w:t>
            </w:r>
            <w:r>
              <w:rPr>
                <w:rFonts w:ascii="Times New Roman" w:hAnsi="Times New Roman"/>
                <w:color w:val="000000" w:themeColor="text1"/>
                <w:kern w:val="0"/>
                <w:sz w:val="18"/>
                <w:szCs w:val="18"/>
                <w:vertAlign w:val="superscript"/>
                <w14:textFill>
                  <w14:solidFill>
                    <w14:schemeClr w14:val="tx1"/>
                  </w14:solidFill>
                </w14:textFill>
              </w:rPr>
              <w:t>***</w:t>
            </w: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-0.0058</w:t>
            </w:r>
            <w:r>
              <w:rPr>
                <w:rFonts w:ascii="Times New Roman" w:hAnsi="Times New Roman"/>
                <w:color w:val="000000" w:themeColor="text1"/>
                <w:kern w:val="0"/>
                <w:sz w:val="18"/>
                <w:szCs w:val="18"/>
                <w:vertAlign w:val="superscript"/>
                <w14:textFill>
                  <w14:solidFill>
                    <w14:schemeClr w14:val="tx1"/>
                  </w14:solidFill>
                </w14:textFill>
              </w:rPr>
              <w:t>***</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×Lawdis</w:t>
            </w: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(0.0006)</w:t>
            </w: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(0.0006)</w:t>
            </w: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(0.0006)</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Traderp</w:t>
            </w: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0.0026</w:t>
            </w:r>
            <w:r>
              <w:rPr>
                <w:rFonts w:ascii="Times New Roman" w:hAnsi="Times New Roman"/>
                <w:color w:val="000000" w:themeColor="text1"/>
                <w:kern w:val="0"/>
                <w:sz w:val="18"/>
                <w:szCs w:val="18"/>
                <w:vertAlign w:val="superscript"/>
                <w14:textFill>
                  <w14:solidFill>
                    <w14:schemeClr w14:val="tx1"/>
                  </w14:solidFill>
                </w14:textFill>
              </w:rPr>
              <w:t>*</w:t>
            </w: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0.0034</w:t>
            </w:r>
            <w:r>
              <w:rPr>
                <w:rFonts w:ascii="Times New Roman" w:hAnsi="Times New Roman"/>
                <w:color w:val="000000" w:themeColor="text1"/>
                <w:kern w:val="0"/>
                <w:sz w:val="18"/>
                <w:szCs w:val="18"/>
                <w:vertAlign w:val="superscript"/>
                <w14:textFill>
                  <w14:solidFill>
                    <w14:schemeClr w14:val="tx1"/>
                  </w14:solidFill>
                </w14:textFill>
              </w:rPr>
              <w:t>**</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0.0025</w:t>
            </w:r>
            <w:r>
              <w:rPr>
                <w:rFonts w:ascii="Times New Roman" w:hAnsi="Times New Roman"/>
                <w:color w:val="000000" w:themeColor="text1"/>
                <w:kern w:val="0"/>
                <w:sz w:val="18"/>
                <w:szCs w:val="18"/>
                <w:vertAlign w:val="superscript"/>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×Culdis</w:t>
            </w: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(0.0015)</w:t>
            </w: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(0.0015)</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05" w:type="pct"/>
            <w:vMerge w:val="restart"/>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Traderpexp</w:t>
            </w:r>
          </w:p>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r>
              <w:rPr>
                <w:rFonts w:ascii="Times New Roman" w:hAnsi="Times New Roman" w:eastAsia="仿宋" w:cs="Times New Roman"/>
                <w:i/>
                <w:color w:val="000000" w:themeColor="text1"/>
                <w:sz w:val="18"/>
                <w:szCs w:val="18"/>
                <w14:textFill>
                  <w14:solidFill>
                    <w14:schemeClr w14:val="tx1"/>
                  </w14:solidFill>
                </w14:textFill>
              </w:rPr>
              <w:t>Distance</w:t>
            </w:r>
          </w:p>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-0.0044</w:t>
            </w:r>
            <w:r>
              <w:rPr>
                <w:rFonts w:ascii="Times New Roman" w:hAnsi="Times New Roman"/>
                <w:color w:val="000000" w:themeColor="text1"/>
                <w:kern w:val="0"/>
                <w:sz w:val="18"/>
                <w:szCs w:val="18"/>
                <w:vertAlign w:val="superscript"/>
                <w14:textFill>
                  <w14:solidFill>
                    <w14:schemeClr w14:val="tx1"/>
                  </w14:solidFill>
                </w14:textFill>
              </w:rPr>
              <w:t>*</w:t>
            </w: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-0.0047</w:t>
            </w:r>
            <w:r>
              <w:rPr>
                <w:rFonts w:ascii="Times New Roman" w:hAnsi="Times New Roman"/>
                <w:color w:val="000000" w:themeColor="text1"/>
                <w:kern w:val="0"/>
                <w:sz w:val="18"/>
                <w:szCs w:val="18"/>
                <w:vertAlign w:val="superscript"/>
                <w14:textFill>
                  <w14:solidFill>
                    <w14:schemeClr w14:val="tx1"/>
                  </w14:solidFill>
                </w14:textFill>
              </w:rPr>
              <w:t>**</w:t>
            </w: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-0.0045</w:t>
            </w:r>
            <w:r>
              <w:rPr>
                <w:rFonts w:ascii="Times New Roman" w:hAnsi="Times New Roman"/>
                <w:color w:val="000000" w:themeColor="text1"/>
                <w:kern w:val="0"/>
                <w:sz w:val="18"/>
                <w:szCs w:val="18"/>
                <w:vertAlign w:val="superscript"/>
                <w14:textFill>
                  <w14:solidFill>
                    <w14:schemeClr w14:val="tx1"/>
                  </w14:solidFill>
                </w14:textFill>
              </w:rPr>
              <w:t>**</w:t>
            </w:r>
          </w:p>
        </w:tc>
        <w:tc>
          <w:tcPr>
            <w:tcW w:w="486" w:type="pct"/>
            <w:vMerge w:val="restar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vMerge w:val="restar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vMerge w:val="restar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vMerge w:val="restar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0.0010</w:t>
            </w:r>
            <w:r>
              <w:rPr>
                <w:rFonts w:ascii="Times New Roman" w:hAnsi="Times New Roman" w:eastAsia="仿宋" w:cs="Times New Roman"/>
                <w:color w:val="000000" w:themeColor="text1"/>
                <w:kern w:val="0"/>
                <w:sz w:val="18"/>
                <w:szCs w:val="18"/>
                <w:vertAlign w:val="superscript"/>
                <w14:textFill>
                  <w14:solidFill>
                    <w14:schemeClr w14:val="tx1"/>
                  </w14:solidFill>
                </w14:textFill>
              </w:rPr>
              <w:t>**</w:t>
            </w: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(0.0004)</w:t>
            </w:r>
          </w:p>
        </w:tc>
        <w:tc>
          <w:tcPr>
            <w:tcW w:w="539" w:type="pct"/>
            <w:vMerge w:val="restar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0.0009</w:t>
            </w:r>
            <w:r>
              <w:rPr>
                <w:rFonts w:ascii="Times New Roman" w:hAnsi="Times New Roman" w:eastAsia="仿宋" w:cs="Times New Roman"/>
                <w:color w:val="000000" w:themeColor="text1"/>
                <w:kern w:val="0"/>
                <w:sz w:val="18"/>
                <w:szCs w:val="18"/>
                <w:vertAlign w:val="superscript"/>
                <w14:textFill>
                  <w14:solidFill>
                    <w14:schemeClr w14:val="tx1"/>
                  </w14:solidFill>
                </w14:textFill>
              </w:rPr>
              <w:t>**</w:t>
            </w: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(0.0004)</w:t>
            </w:r>
          </w:p>
        </w:tc>
        <w:tc>
          <w:tcPr>
            <w:tcW w:w="467" w:type="pct"/>
            <w:vMerge w:val="restar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0.0010</w:t>
            </w:r>
            <w:r>
              <w:rPr>
                <w:rFonts w:ascii="Times New Roman" w:hAnsi="Times New Roman" w:eastAsia="仿宋" w:cs="Times New Roman"/>
                <w:color w:val="000000" w:themeColor="text1"/>
                <w:kern w:val="0"/>
                <w:sz w:val="18"/>
                <w:szCs w:val="18"/>
                <w:vertAlign w:val="superscript"/>
                <w14:textFill>
                  <w14:solidFill>
                    <w14:schemeClr w14:val="tx1"/>
                  </w14:solidFill>
                </w14:textFill>
              </w:rPr>
              <w:t>**</w:t>
            </w:r>
          </w:p>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(0.0004)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05" w:type="pct"/>
            <w:vMerge w:val="continue"/>
            <w:tcBorders>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p>
        </w:tc>
        <w:tc>
          <w:tcPr>
            <w:tcW w:w="476" w:type="pct"/>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(0.0023)</w:t>
            </w:r>
          </w:p>
        </w:tc>
        <w:tc>
          <w:tcPr>
            <w:tcW w:w="474" w:type="pct"/>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(0.0023)</w:t>
            </w:r>
          </w:p>
        </w:tc>
        <w:tc>
          <w:tcPr>
            <w:tcW w:w="482" w:type="pct"/>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(0.0023)</w:t>
            </w:r>
          </w:p>
        </w:tc>
        <w:tc>
          <w:tcPr>
            <w:tcW w:w="486" w:type="pct"/>
            <w:vMerge w:val="continue"/>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vMerge w:val="continue"/>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vMerge w:val="continue"/>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vMerge w:val="continue"/>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vMerge w:val="continue"/>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7" w:type="pct"/>
            <w:vMerge w:val="continue"/>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605" w:type="pct"/>
            <w:tcBorders>
              <w:top w:val="nil"/>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r>
              <w:rPr>
                <w:rFonts w:ascii="Times New Roman" w:hAnsi="Times New Roman" w:eastAsia="仿宋" w:cs="Times New Roman"/>
                <w:i/>
                <w:color w:val="000000" w:themeColor="text1"/>
                <w:kern w:val="0"/>
                <w:sz w:val="18"/>
                <w:szCs w:val="18"/>
                <w14:textFill>
                  <w14:solidFill>
                    <w14:schemeClr w14:val="tx1"/>
                  </w14:solidFill>
                </w14:textFill>
              </w:rPr>
              <w:t>Valuech</w:t>
            </w:r>
          </w:p>
        </w:tc>
        <w:tc>
          <w:tcPr>
            <w:tcW w:w="476"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74"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2"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6"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0.0010</w:t>
            </w:r>
            <w:r>
              <w:rPr>
                <w:rFonts w:ascii="Times New Roman" w:hAnsi="Times New Roman"/>
                <w:color w:val="000000" w:themeColor="text1"/>
                <w:kern w:val="0"/>
                <w:sz w:val="18"/>
                <w:szCs w:val="18"/>
                <w:vertAlign w:val="superscript"/>
                <w14:textFill>
                  <w14:solidFill>
                    <w14:schemeClr w14:val="tx1"/>
                  </w14:solidFill>
                </w14:textFill>
              </w:rPr>
              <w:t>**</w:t>
            </w:r>
          </w:p>
        </w:tc>
        <w:tc>
          <w:tcPr>
            <w:tcW w:w="539"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0.0009</w:t>
            </w:r>
            <w:r>
              <w:rPr>
                <w:rFonts w:ascii="Times New Roman" w:hAnsi="Times New Roman"/>
                <w:color w:val="000000" w:themeColor="text1"/>
                <w:kern w:val="0"/>
                <w:sz w:val="18"/>
                <w:szCs w:val="18"/>
                <w:vertAlign w:val="superscript"/>
                <w14:textFill>
                  <w14:solidFill>
                    <w14:schemeClr w14:val="tx1"/>
                  </w14:solidFill>
                </w14:textFill>
              </w:rPr>
              <w:t>**</w:t>
            </w:r>
          </w:p>
        </w:tc>
        <w:tc>
          <w:tcPr>
            <w:tcW w:w="467"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0.0010</w:t>
            </w:r>
            <w:r>
              <w:rPr>
                <w:rFonts w:ascii="Times New Roman" w:hAnsi="Times New Roman"/>
                <w:color w:val="000000" w:themeColor="text1"/>
                <w:kern w:val="0"/>
                <w:sz w:val="18"/>
                <w:szCs w:val="18"/>
                <w:vertAlign w:val="superscript"/>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605" w:type="pct"/>
            <w:tcBorders>
              <w:top w:val="nil"/>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p>
        </w:tc>
        <w:tc>
          <w:tcPr>
            <w:tcW w:w="476"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74"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2"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6"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Borders>
              <w:top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(0.0004)</w:t>
            </w:r>
          </w:p>
        </w:tc>
        <w:tc>
          <w:tcPr>
            <w:tcW w:w="539" w:type="pct"/>
            <w:tcBorders>
              <w:top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(0.0004)</w:t>
            </w:r>
          </w:p>
        </w:tc>
        <w:tc>
          <w:tcPr>
            <w:tcW w:w="467" w:type="pct"/>
            <w:tcBorders>
              <w:top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05" w:type="pct"/>
            <w:tcBorders>
              <w:top w:val="nil"/>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r>
              <w:rPr>
                <w:rFonts w:ascii="Times New Roman" w:hAnsi="Times New Roman" w:eastAsia="仿宋" w:cs="Times New Roman"/>
                <w:i/>
                <w:color w:val="000000" w:themeColor="text1"/>
                <w:kern w:val="0"/>
                <w:sz w:val="18"/>
                <w:szCs w:val="18"/>
                <w14:textFill>
                  <w14:solidFill>
                    <w14:schemeClr w14:val="tx1"/>
                  </w14:solidFill>
                </w14:textFill>
              </w:rPr>
              <w:t>Distrbu</w:t>
            </w:r>
          </w:p>
        </w:tc>
        <w:tc>
          <w:tcPr>
            <w:tcW w:w="476"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74"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2"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6"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0.0000</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0.0013</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05" w:type="pct"/>
            <w:tcBorders>
              <w:top w:val="nil"/>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p>
        </w:tc>
        <w:tc>
          <w:tcPr>
            <w:tcW w:w="476"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74"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2"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6"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(0.0029)</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(0.0029)</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605" w:type="pct"/>
            <w:tcBorders>
              <w:top w:val="nil"/>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r>
              <w:rPr>
                <w:rFonts w:ascii="Times New Roman" w:hAnsi="Times New Roman" w:eastAsia="仿宋" w:cs="Times New Roman"/>
                <w:i/>
                <w:color w:val="000000" w:themeColor="text1"/>
                <w:kern w:val="0"/>
                <w:sz w:val="18"/>
                <w:szCs w:val="18"/>
                <w14:textFill>
                  <w14:solidFill>
                    <w14:schemeClr w14:val="tx1"/>
                  </w14:solidFill>
                </w14:textFill>
              </w:rPr>
              <w:t>Cluster</w:t>
            </w:r>
          </w:p>
        </w:tc>
        <w:tc>
          <w:tcPr>
            <w:tcW w:w="476"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74"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2"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6"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-0.0004</w:t>
            </w:r>
          </w:p>
        </w:tc>
        <w:tc>
          <w:tcPr>
            <w:tcW w:w="539" w:type="pct"/>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-0.0002</w:t>
            </w:r>
          </w:p>
        </w:tc>
        <w:tc>
          <w:tcPr>
            <w:tcW w:w="467" w:type="pct"/>
            <w:tcBorders>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-0.0005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605" w:type="pct"/>
            <w:tcBorders>
              <w:top w:val="nil"/>
              <w:bottom w:val="nil"/>
            </w:tcBorders>
          </w:tcPr>
          <w:p>
            <w:pPr>
              <w:autoSpaceDE w:val="0"/>
              <w:autoSpaceDN w:val="0"/>
              <w:adjustRightInd w:val="0"/>
              <w:jc w:val="center"/>
              <w:rPr>
                <w:rFonts w:ascii="Times New Roman" w:hAnsi="Times New Roman" w:eastAsia="仿宋" w:cs="Times New Roman"/>
                <w:i/>
                <w:color w:val="000000" w:themeColor="text1"/>
                <w:sz w:val="18"/>
                <w:szCs w:val="18"/>
                <w14:textFill>
                  <w14:solidFill>
                    <w14:schemeClr w14:val="tx1"/>
                  </w14:solidFill>
                </w14:textFill>
              </w:rPr>
            </w:pPr>
          </w:p>
        </w:tc>
        <w:tc>
          <w:tcPr>
            <w:tcW w:w="476"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74"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2" w:type="pct"/>
            <w:tcBorders>
              <w:top w:val="nil"/>
              <w:bottom w:val="nil"/>
            </w:tcBorders>
          </w:tcPr>
          <w:p>
            <w:pPr>
              <w:autoSpaceDE w:val="0"/>
              <w:autoSpaceDN w:val="0"/>
              <w:adjustRightInd w:val="0"/>
              <w:jc w:val="center"/>
              <w:rPr>
                <w:rFonts w:ascii="Times New Roman" w:hAnsi="Times New Roman"/>
                <w:color w:val="000000" w:themeColor="text1"/>
                <w:kern w:val="0"/>
                <w:sz w:val="18"/>
                <w:szCs w:val="18"/>
                <w14:textFill>
                  <w14:solidFill>
                    <w14:schemeClr w14:val="tx1"/>
                  </w14:solidFill>
                </w14:textFill>
              </w:rPr>
            </w:pPr>
          </w:p>
        </w:tc>
        <w:tc>
          <w:tcPr>
            <w:tcW w:w="486"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62"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470"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p>
        </w:tc>
        <w:tc>
          <w:tcPr>
            <w:tcW w:w="539"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(0.0020)</w:t>
            </w:r>
          </w:p>
        </w:tc>
        <w:tc>
          <w:tcPr>
            <w:tcW w:w="539"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(0.0020)</w:t>
            </w:r>
          </w:p>
        </w:tc>
        <w:tc>
          <w:tcPr>
            <w:tcW w:w="467" w:type="pct"/>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(0.0020)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05" w:type="pct"/>
            <w:tcBorders>
              <w:top w:val="nil"/>
              <w:bottom w:val="nil"/>
            </w:tcBorders>
          </w:tcPr>
          <w:p>
            <w:pPr>
              <w:autoSpaceDE w:val="0"/>
              <w:autoSpaceDN w:val="0"/>
              <w:adjustRightInd w:val="0"/>
              <w:jc w:val="left"/>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模型说明</w:t>
            </w:r>
          </w:p>
        </w:tc>
        <w:tc>
          <w:tcPr>
            <w:tcW w:w="1432" w:type="pct"/>
            <w:gridSpan w:val="3"/>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增加出口跨国关联交易变量</w:t>
            </w:r>
          </w:p>
        </w:tc>
        <w:tc>
          <w:tcPr>
            <w:tcW w:w="1418" w:type="pct"/>
            <w:gridSpan w:val="3"/>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删除2008年样本</w:t>
            </w:r>
          </w:p>
        </w:tc>
        <w:tc>
          <w:tcPr>
            <w:tcW w:w="1545" w:type="pct"/>
            <w:gridSpan w:val="3"/>
            <w:tcBorders>
              <w:top w:val="nil"/>
              <w:bottom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hint="eastAsia" w:ascii="Times New Roman" w:hAnsi="Times New Roman" w:eastAsia="仿宋" w:cs="Times New Roman"/>
                <w:color w:val="000000" w:themeColor="text1"/>
                <w:kern w:val="0"/>
                <w:sz w:val="18"/>
                <w:szCs w:val="18"/>
                <w14:textFill>
                  <w14:solidFill>
                    <w14:schemeClr w14:val="tx1"/>
                  </w14:solidFill>
                </w14:textFill>
              </w:rPr>
              <w:t>地理和母国产业因素的影响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Borders>
              <w:top w:val="nil"/>
            </w:tcBorders>
          </w:tcPr>
          <w:p>
            <w:pPr>
              <w:autoSpaceDE w:val="0"/>
              <w:autoSpaceDN w:val="0"/>
              <w:adjustRightInd w:val="0"/>
              <w:ind w:firstLine="360" w:firstLineChars="200"/>
              <w:rPr>
                <w:rFonts w:ascii="Times New Roman" w:hAnsi="Times New Roman" w:eastAsia="仿宋" w:cs="Times New Roman"/>
                <w:i/>
                <w:color w:val="000000" w:themeColor="text1"/>
                <w:kern w:val="0"/>
                <w:sz w:val="18"/>
                <w:szCs w:val="18"/>
                <w14:textFill>
                  <w14:solidFill>
                    <w14:schemeClr w14:val="tx1"/>
                  </w14:solidFill>
                </w14:textFill>
              </w:rPr>
            </w:pPr>
            <w:r>
              <w:rPr>
                <w:rFonts w:ascii="Times New Roman" w:hAnsi="Times New Roman" w:eastAsia="仿宋" w:cs="Times New Roman"/>
                <w:i/>
                <w:color w:val="000000" w:themeColor="text1"/>
                <w:kern w:val="0"/>
                <w:sz w:val="18"/>
                <w:szCs w:val="18"/>
                <w14:textFill>
                  <w14:solidFill>
                    <w14:schemeClr w14:val="tx1"/>
                  </w14:solidFill>
                </w14:textFill>
              </w:rPr>
              <w:t>Ctrl</w:t>
            </w:r>
          </w:p>
        </w:tc>
        <w:tc>
          <w:tcPr>
            <w:tcW w:w="476"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474"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482"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486"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462" w:type="pct"/>
            <w:tcBorders>
              <w:top w:val="nil"/>
              <w:bottom w:val="nil"/>
            </w:tcBorders>
          </w:tcPr>
          <w:p>
            <w:pPr>
              <w:ind w:firstLine="180" w:firstLineChars="100"/>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470"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539"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539"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c>
          <w:tcPr>
            <w:tcW w:w="467" w:type="pct"/>
            <w:tcBorders>
              <w:top w:val="nil"/>
              <w:bottom w:val="nil"/>
            </w:tcBorders>
          </w:tcPr>
          <w:p>
            <w:pPr>
              <w:jc w:val="cente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iCs/>
                <w:color w:val="000000" w:themeColor="text1"/>
                <w:kern w:val="0"/>
                <w:sz w:val="18"/>
                <w:szCs w:val="18"/>
                <w14:textFill>
                  <w14:solidFill>
                    <w14:schemeClr w14:val="tx1"/>
                  </w14:solidFill>
                </w14:textFill>
              </w:rPr>
              <w:t>N</w:t>
            </w:r>
          </w:p>
        </w:tc>
        <w:tc>
          <w:tcPr>
            <w:tcW w:w="476"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64815</w:t>
            </w:r>
          </w:p>
        </w:tc>
        <w:tc>
          <w:tcPr>
            <w:tcW w:w="474"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64815</w:t>
            </w:r>
          </w:p>
        </w:tc>
        <w:tc>
          <w:tcPr>
            <w:tcW w:w="482"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64815</w:t>
            </w:r>
          </w:p>
        </w:tc>
        <w:tc>
          <w:tcPr>
            <w:tcW w:w="486"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57565</w:t>
            </w:r>
          </w:p>
        </w:tc>
        <w:tc>
          <w:tcPr>
            <w:tcW w:w="462"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57565</w:t>
            </w:r>
          </w:p>
        </w:tc>
        <w:tc>
          <w:tcPr>
            <w:tcW w:w="470"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57565</w:t>
            </w:r>
          </w:p>
        </w:tc>
        <w:tc>
          <w:tcPr>
            <w:tcW w:w="539"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64815</w:t>
            </w:r>
          </w:p>
        </w:tc>
        <w:tc>
          <w:tcPr>
            <w:tcW w:w="539"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64815</w:t>
            </w:r>
          </w:p>
        </w:tc>
        <w:tc>
          <w:tcPr>
            <w:tcW w:w="467" w:type="pct"/>
            <w:tcBorders>
              <w:top w:val="nil"/>
              <w:left w:val="nil"/>
              <w:bottom w:val="nil"/>
              <w:right w:val="nil"/>
            </w:tcBorders>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64815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5"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eastAsia="仿宋" w:cs="Times New Roman"/>
                <w:color w:val="000000" w:themeColor="text1"/>
                <w:kern w:val="0"/>
                <w:sz w:val="18"/>
                <w:szCs w:val="18"/>
                <w14:textFill>
                  <w14:solidFill>
                    <w14:schemeClr w14:val="tx1"/>
                  </w14:solidFill>
                </w14:textFill>
              </w:rPr>
              <w:t>R</w:t>
            </w:r>
            <w:r>
              <w:rPr>
                <w:rFonts w:ascii="Times New Roman" w:hAnsi="Times New Roman" w:eastAsia="仿宋" w:cs="Times New Roman"/>
                <w:color w:val="000000" w:themeColor="text1"/>
                <w:kern w:val="0"/>
                <w:sz w:val="18"/>
                <w:szCs w:val="18"/>
                <w:vertAlign w:val="superscript"/>
                <w14:textFill>
                  <w14:solidFill>
                    <w14:schemeClr w14:val="tx1"/>
                  </w14:solidFill>
                </w14:textFill>
              </w:rPr>
              <w:t>2</w:t>
            </w:r>
          </w:p>
        </w:tc>
        <w:tc>
          <w:tcPr>
            <w:tcW w:w="47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0.0916</w:t>
            </w:r>
          </w:p>
        </w:tc>
        <w:tc>
          <w:tcPr>
            <w:tcW w:w="474"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0.0937</w:t>
            </w:r>
          </w:p>
        </w:tc>
        <w:tc>
          <w:tcPr>
            <w:tcW w:w="48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0.0924</w:t>
            </w:r>
          </w:p>
        </w:tc>
        <w:tc>
          <w:tcPr>
            <w:tcW w:w="486"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0.0919</w:t>
            </w:r>
          </w:p>
        </w:tc>
        <w:tc>
          <w:tcPr>
            <w:tcW w:w="462"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0.0943</w:t>
            </w:r>
          </w:p>
        </w:tc>
        <w:tc>
          <w:tcPr>
            <w:tcW w:w="470"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0.0928</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0.0918</w:t>
            </w:r>
          </w:p>
        </w:tc>
        <w:tc>
          <w:tcPr>
            <w:tcW w:w="539"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0.0939</w:t>
            </w:r>
          </w:p>
        </w:tc>
        <w:tc>
          <w:tcPr>
            <w:tcW w:w="467" w:type="pct"/>
          </w:tcPr>
          <w:p>
            <w:pPr>
              <w:autoSpaceDE w:val="0"/>
              <w:autoSpaceDN w:val="0"/>
              <w:adjustRightInd w:val="0"/>
              <w:jc w:val="center"/>
              <w:rPr>
                <w:rFonts w:ascii="Times New Roman" w:hAnsi="Times New Roman" w:eastAsia="仿宋" w:cs="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0.0925</w:t>
            </w:r>
          </w:p>
        </w:tc>
      </w:tr>
    </w:tbl>
    <w:p>
      <w:pPr>
        <w:rPr>
          <w:rFonts w:ascii="Times New Roman" w:hAnsi="Times New Roman" w:eastAsia="仿宋" w:cs="Times New Roman"/>
          <w:color w:val="000000" w:themeColor="text1"/>
          <w:sz w:val="18"/>
          <w:szCs w:val="18"/>
          <w14:textFill>
            <w14:solidFill>
              <w14:schemeClr w14:val="tx1"/>
            </w14:solidFill>
          </w14:textFill>
        </w:rPr>
      </w:pPr>
      <w:r>
        <w:rPr>
          <w:rFonts w:ascii="Times New Roman" w:hAnsi="Times New Roman" w:eastAsia="仿宋" w:cs="Times New Roman"/>
          <w:color w:val="000000" w:themeColor="text1"/>
          <w:sz w:val="18"/>
          <w:szCs w:val="18"/>
          <w14:textFill>
            <w14:solidFill>
              <w14:schemeClr w14:val="tx1"/>
            </w14:solidFill>
          </w14:textFill>
        </w:rPr>
        <w:t xml:space="preserve">注：括号中为公司层面聚类调整的标准误， </w:t>
      </w:r>
      <w:r>
        <w:rPr>
          <w:rFonts w:ascii="Times New Roman" w:hAnsi="Times New Roman" w:eastAsia="仿宋" w:cs="Times New Roman"/>
          <w:color w:val="000000" w:themeColor="text1"/>
          <w:sz w:val="18"/>
          <w:szCs w:val="18"/>
          <w:vertAlign w:val="superscript"/>
          <w14:textFill>
            <w14:solidFill>
              <w14:schemeClr w14:val="tx1"/>
            </w14:solidFill>
          </w14:textFill>
        </w:rPr>
        <w:t>***、**、*</w:t>
      </w:r>
      <w:r>
        <w:rPr>
          <w:rFonts w:ascii="Times New Roman" w:hAnsi="Times New Roman" w:eastAsia="仿宋" w:cs="Times New Roman"/>
          <w:color w:val="000000" w:themeColor="text1"/>
          <w:sz w:val="18"/>
          <w:szCs w:val="18"/>
          <w14:textFill>
            <w14:solidFill>
              <w14:schemeClr w14:val="tx1"/>
            </w14:solidFill>
          </w14:textFill>
        </w:rPr>
        <w:t>分别表示在1%、5%和10%水平上显著。为节约篇幅控制变量没有报告。</w:t>
      </w:r>
    </w:p>
    <w:p>
      <w:pPr>
        <w:ind w:firstLine="420" w:firstLineChars="200"/>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3.地理</w:t>
      </w:r>
      <w:r>
        <w:rPr>
          <w:rFonts w:hint="eastAsia" w:ascii="Times New Roman" w:hAnsi="Times New Roman" w:eastAsia="仿宋" w:cs="Times New Roman"/>
          <w:color w:val="000000" w:themeColor="text1"/>
          <w:szCs w:val="21"/>
          <w14:textFill>
            <w14:solidFill>
              <w14:schemeClr w14:val="tx1"/>
            </w14:solidFill>
          </w14:textFill>
        </w:rPr>
        <w:t>和母国产业因素</w:t>
      </w:r>
      <w:r>
        <w:rPr>
          <w:rFonts w:ascii="Times New Roman" w:hAnsi="Times New Roman" w:eastAsia="仿宋" w:cs="Times New Roman"/>
          <w:color w:val="000000" w:themeColor="text1"/>
          <w:szCs w:val="21"/>
          <w14:textFill>
            <w14:solidFill>
              <w14:schemeClr w14:val="tx1"/>
            </w14:solidFill>
          </w14:textFill>
        </w:rPr>
        <w:t>的影响</w:t>
      </w:r>
    </w:p>
    <w:p>
      <w:pPr>
        <w:ind w:firstLine="420" w:firstLineChars="200"/>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地理越接近的国家更容易开展贸易交往，这也会影响关联交易形成，进而影响外资企业绩效。我们用北京与投资来源国（地区）的首都距离（单位：千公里）表示地理距离(</w:t>
      </w:r>
      <w:r>
        <w:rPr>
          <w:rFonts w:ascii="Times New Roman" w:hAnsi="Times New Roman" w:eastAsia="仿宋" w:cs="Times New Roman"/>
          <w:i/>
          <w:color w:val="000000" w:themeColor="text1"/>
          <w:szCs w:val="21"/>
          <w14:textFill>
            <w14:solidFill>
              <w14:schemeClr w14:val="tx1"/>
            </w14:solidFill>
          </w14:textFill>
        </w:rPr>
        <w:t>Distance</w:t>
      </w:r>
      <w:r>
        <w:rPr>
          <w:rFonts w:ascii="Times New Roman" w:hAnsi="Times New Roman" w:eastAsia="仿宋" w:cs="Times New Roman"/>
          <w:color w:val="000000" w:themeColor="text1"/>
          <w:szCs w:val="21"/>
          <w14:textFill>
            <w14:solidFill>
              <w14:schemeClr w14:val="tx1"/>
            </w14:solidFill>
          </w14:textFill>
        </w:rPr>
        <w:t>)</w:t>
      </w:r>
      <w:r>
        <w:rPr>
          <w:rStyle w:val="11"/>
          <w:rFonts w:ascii="Times New Roman" w:hAnsi="Times New Roman" w:eastAsia="仿宋" w:cs="Times New Roman"/>
          <w:color w:val="000000" w:themeColor="text1"/>
          <w:szCs w:val="21"/>
          <w14:textFill>
            <w14:solidFill>
              <w14:schemeClr w14:val="tx1"/>
            </w14:solidFill>
          </w14:textFill>
        </w:rPr>
        <w:footnoteReference w:id="0"/>
      </w:r>
      <w:r>
        <w:rPr>
          <w:rFonts w:ascii="Times New Roman" w:hAnsi="Times New Roman" w:eastAsia="仿宋" w:cs="Times New Roman"/>
          <w:color w:val="000000" w:themeColor="text1"/>
          <w:szCs w:val="21"/>
          <w14:textFill>
            <w14:solidFill>
              <w14:schemeClr w14:val="tx1"/>
            </w14:solidFill>
          </w14:textFill>
        </w:rPr>
        <w:t>。</w:t>
      </w:r>
      <w:r>
        <w:rPr>
          <w:rFonts w:hint="eastAsia" w:ascii="Times New Roman" w:hAnsi="Times New Roman" w:eastAsia="仿宋" w:cs="Times New Roman"/>
          <w:color w:val="000000" w:themeColor="text1"/>
          <w:szCs w:val="21"/>
          <w14:textFill>
            <w14:solidFill>
              <w14:schemeClr w14:val="tx1"/>
            </w14:solidFill>
          </w14:textFill>
        </w:rPr>
        <w:t>母国产业因素也可能影响外资企业绩效：</w:t>
      </w:r>
      <w:r>
        <w:rPr>
          <w:rFonts w:ascii="Times New Roman" w:hAnsi="Times New Roman" w:eastAsia="仿宋" w:cs="Times New Roman"/>
          <w:color w:val="000000" w:themeColor="text1"/>
          <w:szCs w:val="21"/>
          <w14:textFill>
            <w14:solidFill>
              <w14:schemeClr w14:val="tx1"/>
            </w14:solidFill>
          </w14:textFill>
        </w:rPr>
        <w:t>（1）产业集聚(</w:t>
      </w:r>
      <w:r>
        <w:rPr>
          <w:rFonts w:ascii="Times New Roman" w:hAnsi="Times New Roman" w:eastAsia="仿宋" w:cs="Times New Roman"/>
          <w:i/>
          <w:color w:val="000000" w:themeColor="text1"/>
          <w:szCs w:val="21"/>
          <w14:textFill>
            <w14:solidFill>
              <w14:schemeClr w14:val="tx1"/>
            </w14:solidFill>
          </w14:textFill>
        </w:rPr>
        <w:t>Cluster</w:t>
      </w:r>
      <w:r>
        <w:rPr>
          <w:rFonts w:ascii="Times New Roman" w:hAnsi="Times New Roman" w:eastAsia="仿宋" w:cs="Times New Roman"/>
          <w:color w:val="000000" w:themeColor="text1"/>
          <w:szCs w:val="21"/>
          <w14:textFill>
            <w14:solidFill>
              <w14:schemeClr w14:val="tx1"/>
            </w14:solidFill>
          </w14:textFill>
        </w:rPr>
        <w:t>)。产业集聚程度影响企业国际化程度和发展水平</w:t>
      </w:r>
      <w:r>
        <w:rPr>
          <w:rFonts w:hint="eastAsia" w:ascii="Times New Roman" w:hAnsi="Times New Roman" w:eastAsia="仿宋" w:cs="Times New Roman"/>
          <w:color w:val="000000" w:themeColor="text1"/>
          <w:szCs w:val="21"/>
          <w14:textFill>
            <w14:solidFill>
              <w14:schemeClr w14:val="tx1"/>
            </w14:solidFill>
          </w14:textFill>
        </w:rPr>
        <w:t>，进而影响</w:t>
      </w:r>
      <w:r>
        <w:rPr>
          <w:rFonts w:ascii="Times New Roman" w:hAnsi="Times New Roman" w:eastAsia="仿宋" w:cs="Times New Roman"/>
          <w:color w:val="000000" w:themeColor="text1"/>
          <w:szCs w:val="21"/>
          <w14:textFill>
            <w14:solidFill>
              <w14:schemeClr w14:val="tx1"/>
            </w14:solidFill>
          </w14:textFill>
        </w:rPr>
        <w:t>海外子公司发展。（2）价值链宽度(</w:t>
      </w:r>
      <w:r>
        <w:rPr>
          <w:rFonts w:ascii="Times New Roman" w:hAnsi="Times New Roman" w:eastAsia="仿宋" w:cs="Times New Roman"/>
          <w:i/>
          <w:color w:val="000000" w:themeColor="text1"/>
          <w:szCs w:val="21"/>
          <w14:textFill>
            <w14:solidFill>
              <w14:schemeClr w14:val="tx1"/>
            </w14:solidFill>
          </w14:textFill>
        </w:rPr>
        <w:t>Valuech</w:t>
      </w:r>
      <w:r>
        <w:rPr>
          <w:rFonts w:ascii="Times New Roman" w:hAnsi="Times New Roman" w:eastAsia="仿宋" w:cs="Times New Roman"/>
          <w:color w:val="000000" w:themeColor="text1"/>
          <w:szCs w:val="21"/>
          <w14:textFill>
            <w14:solidFill>
              <w14:schemeClr w14:val="tx1"/>
            </w14:solidFill>
          </w14:textFill>
        </w:rPr>
        <w:t>)。母国在全球价值链中拥有的宽度越宽，表明跨国公司在全球竞争中优势越明显，越有利于海外子公司发展。（3）国际分销渠道(</w:t>
      </w:r>
      <w:r>
        <w:rPr>
          <w:rFonts w:ascii="Times New Roman" w:hAnsi="Times New Roman" w:eastAsia="仿宋" w:cs="Times New Roman"/>
          <w:i/>
          <w:color w:val="000000" w:themeColor="text1"/>
          <w:szCs w:val="21"/>
          <w14:textFill>
            <w14:solidFill>
              <w14:schemeClr w14:val="tx1"/>
            </w14:solidFill>
          </w14:textFill>
        </w:rPr>
        <w:t>Distrbu</w:t>
      </w:r>
      <w:r>
        <w:rPr>
          <w:rFonts w:ascii="Times New Roman" w:hAnsi="Times New Roman" w:eastAsia="仿宋" w:cs="Times New Roman"/>
          <w:color w:val="000000" w:themeColor="text1"/>
          <w:szCs w:val="21"/>
          <w14:textFill>
            <w14:solidFill>
              <w14:schemeClr w14:val="tx1"/>
            </w14:solidFill>
          </w14:textFill>
        </w:rPr>
        <w:t>)。母国拥有的国际分销渠道影响跨国公司在海外的布局，也影响海外子公司的功能地位，进而影响海外子公司</w:t>
      </w:r>
      <w:r>
        <w:rPr>
          <w:rFonts w:hint="eastAsia" w:ascii="Times New Roman" w:hAnsi="Times New Roman" w:eastAsia="仿宋" w:cs="Times New Roman"/>
          <w:color w:val="000000" w:themeColor="text1"/>
          <w:szCs w:val="21"/>
          <w14:textFill>
            <w14:solidFill>
              <w14:schemeClr w14:val="tx1"/>
            </w14:solidFill>
          </w14:textFill>
        </w:rPr>
        <w:t>绩效</w:t>
      </w:r>
      <w:r>
        <w:rPr>
          <w:rFonts w:ascii="Times New Roman" w:hAnsi="Times New Roman" w:eastAsia="仿宋" w:cs="Times New Roman"/>
          <w:color w:val="000000" w:themeColor="text1"/>
          <w:szCs w:val="21"/>
          <w14:textFill>
            <w14:solidFill>
              <w14:schemeClr w14:val="tx1"/>
            </w14:solidFill>
          </w14:textFill>
        </w:rPr>
        <w:t>。以上3个母国变量取值1-7，表示从最差到最好。数据来源</w:t>
      </w:r>
      <w:r>
        <w:rPr>
          <w:rFonts w:ascii="Times New Roman" w:hAnsi="Times New Roman" w:eastAsia="仿宋" w:cs="Times New Roman"/>
          <w:i/>
          <w:color w:val="000000" w:themeColor="text1"/>
          <w:szCs w:val="21"/>
          <w14:textFill>
            <w14:solidFill>
              <w14:schemeClr w14:val="tx1"/>
            </w14:solidFill>
          </w14:textFill>
        </w:rPr>
        <w:t>Global Competitiveness Index</w:t>
      </w:r>
      <w:r>
        <w:rPr>
          <w:rStyle w:val="11"/>
          <w:rFonts w:ascii="Times New Roman" w:hAnsi="Times New Roman" w:eastAsia="仿宋" w:cs="Times New Roman"/>
          <w:color w:val="000000" w:themeColor="text1"/>
          <w:szCs w:val="21"/>
          <w14:textFill>
            <w14:solidFill>
              <w14:schemeClr w14:val="tx1"/>
            </w14:solidFill>
          </w14:textFill>
        </w:rPr>
        <w:footnoteReference w:id="1"/>
      </w:r>
      <w:r>
        <w:rPr>
          <w:rFonts w:ascii="Times New Roman" w:hAnsi="Times New Roman" w:eastAsia="仿宋" w:cs="Times New Roman"/>
          <w:color w:val="000000" w:themeColor="text1"/>
          <w:szCs w:val="21"/>
          <w14:textFill>
            <w14:solidFill>
              <w14:schemeClr w14:val="tx1"/>
            </w14:solidFill>
          </w14:textFill>
        </w:rPr>
        <w:t>。回归结果见</w:t>
      </w:r>
      <w:r>
        <w:rPr>
          <w:rFonts w:hint="eastAsia" w:ascii="Times New Roman" w:hAnsi="Times New Roman" w:eastAsia="仿宋" w:cs="Times New Roman"/>
          <w:color w:val="000000" w:themeColor="text1"/>
          <w:szCs w:val="21"/>
          <w14:textFill>
            <w14:solidFill>
              <w14:schemeClr w14:val="tx1"/>
            </w14:solidFill>
          </w14:textFill>
        </w:rPr>
        <w:t>表</w:t>
      </w:r>
      <w:r>
        <w:rPr>
          <w:rFonts w:ascii="Times New Roman" w:hAnsi="Times New Roman" w:eastAsia="仿宋" w:cs="Times New Roman"/>
          <w:color w:val="000000" w:themeColor="text1"/>
          <w:szCs w:val="21"/>
          <w14:textFill>
            <w14:solidFill>
              <w14:schemeClr w14:val="tx1"/>
            </w14:solidFill>
          </w14:textFill>
        </w:rPr>
        <w:t>II1模型7</w:t>
      </w:r>
      <w:r>
        <w:rPr>
          <w:rFonts w:hint="eastAsia" w:ascii="Times New Roman" w:hAnsi="Times New Roman" w:eastAsia="仿宋" w:cs="Times New Roman"/>
          <w:color w:val="000000" w:themeColor="text1"/>
          <w:szCs w:val="21"/>
          <w:lang w:val="en-US" w:eastAsia="zh-CN"/>
          <w14:textFill>
            <w14:solidFill>
              <w14:schemeClr w14:val="tx1"/>
            </w14:solidFill>
          </w14:textFill>
        </w:rPr>
        <w:t>至模型</w:t>
      </w:r>
      <w:r>
        <w:rPr>
          <w:rFonts w:ascii="Times New Roman" w:hAnsi="Times New Roman" w:eastAsia="仿宋" w:cs="Times New Roman"/>
          <w:color w:val="000000" w:themeColor="text1"/>
          <w:szCs w:val="21"/>
          <w14:textFill>
            <w14:solidFill>
              <w14:schemeClr w14:val="tx1"/>
            </w14:solidFill>
          </w14:textFill>
        </w:rPr>
        <w:t>9，结论仍然保持不变。在经过稳健性检验后，本文结论仍然成立。</w:t>
      </w:r>
    </w:p>
    <w:p>
      <w:pPr>
        <w:ind w:firstLine="420" w:firstLineChars="200"/>
        <w:rPr>
          <w:rFonts w:ascii="Times New Roman" w:hAnsi="Times New Roman" w:eastAsia="仿宋" w:cs="Times New Roman"/>
          <w:color w:val="000000" w:themeColor="text1"/>
          <w:szCs w:val="21"/>
          <w14:textFill>
            <w14:solidFill>
              <w14:schemeClr w14:val="tx1"/>
            </w14:solidFill>
          </w14:textFill>
        </w:rPr>
      </w:pPr>
    </w:p>
    <w:p>
      <w:pPr>
        <w:ind w:firstLine="420" w:firstLineChars="200"/>
        <w:rPr>
          <w:rFonts w:ascii="Times New Roman" w:hAnsi="Times New Roman" w:eastAsia="仿宋" w:cs="Times New Roman"/>
          <w:color w:val="000000" w:themeColor="text1"/>
          <w:szCs w:val="21"/>
          <w14:textFill>
            <w14:solidFill>
              <w14:schemeClr w14:val="tx1"/>
            </w14:solidFill>
          </w14:textFill>
        </w:rPr>
      </w:pPr>
    </w:p>
    <w:p>
      <w:pPr>
        <w:ind w:firstLine="420" w:firstLineChars="200"/>
        <w:rPr>
          <w:rFonts w:ascii="Times New Roman" w:hAnsi="Times New Roman" w:eastAsia="仿宋" w:cs="Times New Roman"/>
          <w:color w:val="000000" w:themeColor="text1"/>
          <w:szCs w:val="21"/>
          <w14:textFill>
            <w14:solidFill>
              <w14:schemeClr w14:val="tx1"/>
            </w14:solidFill>
          </w14:textFill>
        </w:rPr>
      </w:pPr>
    </w:p>
    <w:p>
      <w:pPr>
        <w:ind w:firstLine="420" w:firstLineChars="200"/>
        <w:rPr>
          <w:rFonts w:ascii="Times New Roman" w:hAnsi="Times New Roman" w:eastAsia="仿宋" w:cs="Times New Roman"/>
          <w:color w:val="000000" w:themeColor="text1"/>
          <w:szCs w:val="21"/>
          <w14:textFill>
            <w14:solidFill>
              <w14:schemeClr w14:val="tx1"/>
            </w14:solidFill>
          </w14:textFill>
        </w:rPr>
      </w:pPr>
    </w:p>
    <w:p>
      <w:pPr>
        <w:ind w:firstLine="420" w:firstLineChars="200"/>
        <w:rPr>
          <w:rFonts w:ascii="Times New Roman" w:hAnsi="Times New Roman" w:eastAsia="仿宋" w:cs="Times New Roman"/>
          <w:color w:val="000000" w:themeColor="text1"/>
          <w:szCs w:val="21"/>
          <w14:textFill>
            <w14:solidFill>
              <w14:schemeClr w14:val="tx1"/>
            </w14:solidFill>
          </w14:textFill>
        </w:rPr>
      </w:pPr>
    </w:p>
    <w:p>
      <w:pPr>
        <w:rPr>
          <w:rFonts w:hint="eastAsia" w:ascii="Calibri" w:hAnsi="Calibri" w:cs="Times New Roman"/>
          <w:b/>
          <w:color w:val="auto"/>
          <w:szCs w:val="22"/>
        </w:rPr>
      </w:pPr>
    </w:p>
    <w:p>
      <w:pPr>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ind w:firstLine="420" w:firstLineChars="200"/>
        <w:rPr>
          <w:rFonts w:ascii="Times New Roman" w:hAnsi="Times New Roman" w:eastAsia="仿宋" w:cs="Times New Roman"/>
          <w:color w:val="000000" w:themeColor="text1"/>
          <w:szCs w:val="21"/>
          <w14:textFill>
            <w14:solidFill>
              <w14:schemeClr w14:val="tx1"/>
            </w14:solidFill>
          </w14:textFill>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pPr>
      <w:r>
        <w:rPr>
          <w:rStyle w:val="11"/>
        </w:rPr>
        <w:footnoteRef/>
      </w:r>
      <w:r>
        <w:t xml:space="preserve"> </w:t>
      </w:r>
      <w:r>
        <w:rPr>
          <w:rFonts w:ascii="Times New Roman" w:hAnsi="Times New Roman" w:eastAsia="仿宋" w:cs="Times New Roman"/>
          <w:color w:val="000000" w:themeColor="text1"/>
          <w:szCs w:val="21"/>
          <w14:textFill>
            <w14:solidFill>
              <w14:schemeClr w14:val="tx1"/>
            </w14:solidFill>
          </w14:textFill>
        </w:rPr>
        <w:t>数据来源http://www.cepii.fr。</w:t>
      </w:r>
    </w:p>
  </w:footnote>
  <w:footnote w:id="1">
    <w:p>
      <w:pPr>
        <w:pStyle w:val="7"/>
        <w:rPr>
          <w:rFonts w:hint="eastAsia" w:eastAsia="仿宋"/>
          <w:lang w:eastAsia="zh-CN"/>
        </w:rPr>
      </w:pPr>
      <w:r>
        <w:rPr>
          <w:rStyle w:val="11"/>
        </w:rPr>
        <w:footnoteRef/>
      </w:r>
      <w:r>
        <w:t xml:space="preserve"> </w:t>
      </w:r>
      <w:r>
        <w:rPr>
          <w:rFonts w:ascii="Times New Roman" w:hAnsi="Times New Roman" w:eastAsia="仿宋" w:cs="Times New Roman"/>
          <w:color w:val="000000" w:themeColor="text1"/>
          <w:szCs w:val="21"/>
          <w14:textFill>
            <w14:solidFill>
              <w14:schemeClr w14:val="tx1"/>
            </w14:solidFill>
          </w14:textFill>
        </w:rPr>
        <w:t>网址www.weforum.org</w:t>
      </w:r>
      <w:r>
        <w:rPr>
          <w:rFonts w:hint="eastAsia" w:ascii="Times New Roman" w:hAnsi="Times New Roman" w:eastAsia="仿宋" w:cs="Times New Roman"/>
          <w:color w:val="000000" w:themeColor="text1"/>
          <w:szCs w:val="21"/>
          <w:lang w:eastAsia="zh-CN"/>
          <w14:textFill>
            <w14:solidFill>
              <w14:schemeClr w14:val="tx1"/>
            </w14:solidFill>
          </w14:textFil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2023年第6期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6FC53"/>
    <w:multiLevelType w:val="singleLevel"/>
    <w:tmpl w:val="ED36FC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K0MDK3tDQ2MDI1NbdU0lEKTi0uzszPAykwqgUAV8eI5CwAAAA="/>
    <w:docVar w:name="commondata" w:val="eyJoZGlkIjoiMzk5YTY5MzAxODJhZDAxMGMwZGQwZTA0ZDg0NjA2ZDkifQ=="/>
  </w:docVars>
  <w:rsids>
    <w:rsidRoot w:val="00A953BD"/>
    <w:rsid w:val="001C6147"/>
    <w:rsid w:val="00272713"/>
    <w:rsid w:val="003B403B"/>
    <w:rsid w:val="00417AF9"/>
    <w:rsid w:val="00454457"/>
    <w:rsid w:val="004808F0"/>
    <w:rsid w:val="00627991"/>
    <w:rsid w:val="00647D28"/>
    <w:rsid w:val="006B2C4E"/>
    <w:rsid w:val="006B3045"/>
    <w:rsid w:val="007E248C"/>
    <w:rsid w:val="00881D55"/>
    <w:rsid w:val="008941A5"/>
    <w:rsid w:val="008A739A"/>
    <w:rsid w:val="008D02D2"/>
    <w:rsid w:val="00A953BD"/>
    <w:rsid w:val="00AC07FB"/>
    <w:rsid w:val="00B4173A"/>
    <w:rsid w:val="00D27E26"/>
    <w:rsid w:val="00D770BA"/>
    <w:rsid w:val="00DC2628"/>
    <w:rsid w:val="00EA7C0C"/>
    <w:rsid w:val="00F25E07"/>
    <w:rsid w:val="00F31DA2"/>
    <w:rsid w:val="05156D7E"/>
    <w:rsid w:val="2BD738AC"/>
    <w:rsid w:val="394A0A6E"/>
    <w:rsid w:val="485A1341"/>
    <w:rsid w:val="524D5852"/>
    <w:rsid w:val="54FE72D7"/>
    <w:rsid w:val="5B7A630F"/>
    <w:rsid w:val="65F15279"/>
    <w:rsid w:val="6E36688A"/>
    <w:rsid w:val="6EA4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paragraph" w:styleId="7">
    <w:name w:val="footnote text"/>
    <w:basedOn w:val="1"/>
    <w:link w:val="15"/>
    <w:semiHidden/>
    <w:unhideWhenUsed/>
    <w:uiPriority w:val="99"/>
    <w:pPr>
      <w:snapToGrid w:val="0"/>
      <w:jc w:val="left"/>
    </w:pPr>
    <w:rPr>
      <w:sz w:val="18"/>
      <w:szCs w:val="18"/>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15">
    <w:name w:val="脚注文本 字符"/>
    <w:basedOn w:val="9"/>
    <w:link w:val="7"/>
    <w:semiHidden/>
    <w:uiPriority w:val="99"/>
    <w:rPr>
      <w:sz w:val="18"/>
      <w:szCs w:val="18"/>
    </w:rPr>
  </w:style>
  <w:style w:type="character" w:customStyle="1" w:styleId="16">
    <w:name w:val="标题 2 字符"/>
    <w:basedOn w:val="9"/>
    <w:link w:val="3"/>
    <w:uiPriority w:val="9"/>
    <w:rPr>
      <w:rFonts w:asciiTheme="majorHAnsi" w:hAnsiTheme="majorHAnsi" w:eastAsiaTheme="majorEastAsia" w:cstheme="majorBidi"/>
      <w:b/>
      <w:bCs/>
      <w:sz w:val="32"/>
      <w:szCs w:val="32"/>
    </w:rPr>
  </w:style>
  <w:style w:type="character" w:customStyle="1" w:styleId="17">
    <w:name w:val="标题 1 字符"/>
    <w:basedOn w:val="9"/>
    <w:link w:val="2"/>
    <w:qFormat/>
    <w:uiPriority w:val="9"/>
    <w:rPr>
      <w:b/>
      <w:bCs/>
      <w:kern w:val="44"/>
      <w:sz w:val="44"/>
      <w:szCs w:val="44"/>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9">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FE3C5-2194-41B9-A9C7-F0C077ACB341}">
  <ds:schemaRefs/>
</ds:datastoreItem>
</file>

<file path=docProps/app.xml><?xml version="1.0" encoding="utf-8"?>
<Properties xmlns="http://schemas.openxmlformats.org/officeDocument/2006/extended-properties" xmlns:vt="http://schemas.openxmlformats.org/officeDocument/2006/docPropsVTypes">
  <Template>Normal</Template>
  <Pages>4</Pages>
  <Words>505</Words>
  <Characters>2879</Characters>
  <Lines>23</Lines>
  <Paragraphs>6</Paragraphs>
  <TotalTime>2</TotalTime>
  <ScaleCrop>false</ScaleCrop>
  <LinksUpToDate>false</LinksUpToDate>
  <CharactersWithSpaces>3378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2023-10-19T09:53:00Z</dcterms:created>
  <dc:creator>WJM</dc:creator>
  <cp:lastModifiedBy>刘京</cp:lastModifiedBy>
  <dcterms:modified xsi:type="dcterms:W3CDTF">2023-11-28T07:37:13Z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CBFA8F2349B54F0B97C48EEE66ABF9C1_12</vt:lpwstr>
  </property>
</Properties>
</file>