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绿色信贷政策、信贷歧视与企业债务融资</w:t>
      </w:r>
    </w:p>
    <w:p>
      <w:pPr>
        <w:pStyle w:val="8"/>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楷体" w:hAnsi="楷体" w:eastAsia="楷体" w:cs="楷体"/>
          <w:b w:val="0"/>
          <w:bCs w:val="0"/>
          <w:sz w:val="28"/>
          <w:szCs w:val="28"/>
          <w:lang w:val="en-US" w:eastAsia="zh-CN"/>
        </w:rPr>
      </w:pPr>
    </w:p>
    <w:p>
      <w:pPr>
        <w:pStyle w:val="8"/>
        <w:keepNext w:val="0"/>
        <w:keepLines w:val="0"/>
        <w:pageBreakBefore w:val="0"/>
        <w:kinsoku/>
        <w:wordWrap/>
        <w:overflowPunct/>
        <w:topLinePunct w:val="0"/>
        <w:bidi w:val="0"/>
        <w:snapToGrid/>
        <w:spacing w:line="440" w:lineRule="exact"/>
        <w:ind w:left="0" w:leftChars="0" w:firstLine="0" w:firstLineChars="0"/>
        <w:jc w:val="center"/>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郭俊杰 方颖</w:t>
      </w:r>
    </w:p>
    <w:p>
      <w:pPr>
        <w:pStyle w:val="8"/>
        <w:keepNext w:val="0"/>
        <w:keepLines w:val="0"/>
        <w:pageBreakBefore w:val="0"/>
        <w:kinsoku/>
        <w:wordWrap/>
        <w:overflowPunct/>
        <w:topLinePunct w:val="0"/>
        <w:bidi w:val="0"/>
        <w:snapToGrid/>
        <w:spacing w:line="440" w:lineRule="exact"/>
        <w:ind w:firstLine="3654" w:firstLineChars="1300"/>
        <w:jc w:val="both"/>
        <w:textAlignment w:val="auto"/>
        <w:rPr>
          <w:rFonts w:hint="eastAsia" w:ascii="仿宋" w:hAnsi="仿宋" w:eastAsia="仿宋" w:cs="仿宋"/>
          <w:b/>
          <w:bCs/>
          <w:sz w:val="28"/>
          <w:szCs w:val="28"/>
        </w:rPr>
      </w:pPr>
    </w:p>
    <w:p>
      <w:pPr>
        <w:pStyle w:val="8"/>
        <w:keepNext w:val="0"/>
        <w:keepLines w:val="0"/>
        <w:pageBreakBefore w:val="0"/>
        <w:kinsoku/>
        <w:wordWrap/>
        <w:overflowPunct/>
        <w:topLinePunct w:val="0"/>
        <w:bidi w:val="0"/>
        <w:snapToGrid/>
        <w:spacing w:line="440" w:lineRule="exact"/>
        <w:ind w:firstLine="3654" w:firstLineChars="1300"/>
        <w:jc w:val="both"/>
        <w:textAlignment w:val="auto"/>
        <w:rPr>
          <w:rFonts w:hint="eastAsia" w:ascii="仿宋" w:hAnsi="仿宋" w:eastAsia="仿宋" w:cs="仿宋"/>
          <w:b/>
          <w:bCs/>
          <w:sz w:val="28"/>
          <w:szCs w:val="28"/>
        </w:rPr>
      </w:pPr>
    </w:p>
    <w:p>
      <w:pPr>
        <w:pStyle w:val="8"/>
        <w:keepNext w:val="0"/>
        <w:keepLines w:val="0"/>
        <w:pageBreakBefore w:val="0"/>
        <w:kinsoku/>
        <w:wordWrap/>
        <w:overflowPunct/>
        <w:topLinePunct w:val="0"/>
        <w:bidi w:val="0"/>
        <w:snapToGrid/>
        <w:spacing w:line="440" w:lineRule="exact"/>
        <w:ind w:firstLine="3654" w:firstLineChars="1300"/>
        <w:jc w:val="both"/>
        <w:textAlignment w:val="auto"/>
        <w:rPr>
          <w:rFonts w:hint="eastAsia" w:ascii="仿宋" w:hAnsi="仿宋" w:eastAsia="仿宋" w:cs="仿宋"/>
          <w:sz w:val="21"/>
          <w:szCs w:val="21"/>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21"/>
          <w:szCs w:val="21"/>
        </w:rPr>
      </w:pPr>
    </w:p>
    <w:p>
      <w:pPr>
        <w:pStyle w:val="4"/>
        <w:keepNext w:val="0"/>
        <w:keepLines w:val="0"/>
        <w:pageBreakBefore w:val="0"/>
        <w:tabs>
          <w:tab w:val="right" w:leader="dot" w:pos="8306"/>
        </w:tabs>
        <w:kinsoku/>
        <w:wordWrap/>
        <w:overflowPunct/>
        <w:topLinePunct w:val="0"/>
        <w:bidi w:val="0"/>
        <w:snapToGrid/>
        <w:spacing w:line="440" w:lineRule="exact"/>
        <w:textAlignment w:val="auto"/>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TOC \o "1-2" \h \u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_Toc1760965068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附录I</w:t>
      </w:r>
      <w:r>
        <w:rPr>
          <w:rFonts w:hint="eastAsia" w:ascii="仿宋" w:hAnsi="仿宋" w:eastAsia="仿宋" w:cs="仿宋"/>
          <w:i w:val="0"/>
          <w:iCs w:val="0"/>
          <w:sz w:val="22"/>
          <w:szCs w:val="22"/>
          <w:lang w:val="en-US" w:eastAsia="zh-CN"/>
        </w:rPr>
        <w:t xml:space="preserve">  </w:t>
      </w:r>
      <w:r>
        <w:rPr>
          <w:rFonts w:hint="eastAsia" w:ascii="仿宋" w:hAnsi="仿宋" w:eastAsia="仿宋" w:cs="仿宋"/>
          <w:i w:val="0"/>
          <w:iCs w:val="0"/>
          <w:sz w:val="22"/>
          <w:szCs w:val="22"/>
        </w:rPr>
        <w:t xml:space="preserve"> PSM-DID方法进行稳健性检验</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1</w:t>
      </w:r>
      <w:r>
        <w:rPr>
          <w:rFonts w:hint="eastAsia" w:ascii="仿宋" w:hAnsi="仿宋" w:eastAsia="仿宋" w:cs="仿宋"/>
          <w:i w:val="0"/>
          <w:iCs w:val="0"/>
          <w:sz w:val="22"/>
          <w:szCs w:val="22"/>
        </w:rPr>
        <w:fldChar w:fldCharType="end"/>
      </w:r>
    </w:p>
    <w:p>
      <w:pPr>
        <w:pStyle w:val="4"/>
        <w:keepNext w:val="0"/>
        <w:keepLines w:val="0"/>
        <w:pageBreakBefore w:val="0"/>
        <w:tabs>
          <w:tab w:val="right" w:leader="dot" w:pos="8306"/>
        </w:tabs>
        <w:kinsoku/>
        <w:wordWrap/>
        <w:overflowPunct/>
        <w:topLinePunct w:val="0"/>
        <w:bidi w:val="0"/>
        <w:snapToGrid/>
        <w:spacing w:line="440" w:lineRule="exact"/>
        <w:textAlignment w:val="auto"/>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_Toc2081614684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 xml:space="preserve">附录II </w:t>
      </w:r>
      <w:r>
        <w:rPr>
          <w:rFonts w:hint="eastAsia" w:ascii="仿宋" w:hAnsi="仿宋" w:eastAsia="仿宋" w:cs="仿宋"/>
          <w:i w:val="0"/>
          <w:iCs w:val="0"/>
          <w:sz w:val="22"/>
          <w:szCs w:val="22"/>
          <w:lang w:val="en-US" w:eastAsia="zh-CN"/>
        </w:rPr>
        <w:t xml:space="preserve"> </w:t>
      </w:r>
      <w:r>
        <w:rPr>
          <w:rFonts w:hint="eastAsia" w:ascii="仿宋" w:hAnsi="仿宋" w:eastAsia="仿宋" w:cs="仿宋"/>
          <w:i w:val="0"/>
          <w:iCs w:val="0"/>
          <w:sz w:val="22"/>
          <w:szCs w:val="22"/>
        </w:rPr>
        <w:t>对研究结论的进一步检验</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3</w:t>
      </w:r>
      <w:r>
        <w:rPr>
          <w:rFonts w:hint="eastAsia" w:ascii="仿宋" w:hAnsi="仿宋" w:eastAsia="仿宋" w:cs="仿宋"/>
          <w:i w:val="0"/>
          <w:iCs w:val="0"/>
          <w:sz w:val="22"/>
          <w:szCs w:val="22"/>
        </w:rPr>
        <w:fldChar w:fldCharType="end"/>
      </w:r>
    </w:p>
    <w:p>
      <w:pPr>
        <w:pStyle w:val="4"/>
        <w:keepNext w:val="0"/>
        <w:keepLines w:val="0"/>
        <w:pageBreakBefore w:val="0"/>
        <w:tabs>
          <w:tab w:val="right" w:leader="dot" w:pos="8306"/>
        </w:tabs>
        <w:kinsoku/>
        <w:wordWrap/>
        <w:overflowPunct/>
        <w:topLinePunct w:val="0"/>
        <w:bidi w:val="0"/>
        <w:snapToGrid/>
        <w:spacing w:line="440" w:lineRule="exact"/>
        <w:textAlignment w:val="auto"/>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_Toc1963982427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附录III 国有和民营企业的环境绩效差异检验</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4</w:t>
      </w:r>
      <w:r>
        <w:rPr>
          <w:rFonts w:hint="eastAsia" w:ascii="仿宋" w:hAnsi="仿宋" w:eastAsia="仿宋" w:cs="仿宋"/>
          <w:i w:val="0"/>
          <w:iCs w:val="0"/>
          <w:sz w:val="22"/>
          <w:szCs w:val="22"/>
        </w:rPr>
        <w:fldChar w:fldCharType="end"/>
      </w: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end"/>
      </w: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bidi w:val="0"/>
        <w:snapToGrid/>
        <w:spacing w:before="156" w:beforeLines="50" w:line="440" w:lineRule="exact"/>
        <w:ind w:firstLine="420"/>
        <w:textAlignment w:val="auto"/>
        <w:rPr>
          <w:rFonts w:hint="eastAsia" w:ascii="仿宋" w:hAnsi="仿宋" w:eastAsia="仿宋" w:cs="仿宋"/>
          <w:i w:val="0"/>
          <w:iCs w:val="0"/>
          <w:sz w:val="22"/>
          <w:szCs w:val="22"/>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sz w:val="28"/>
          <w:szCs w:val="28"/>
        </w:rPr>
      </w:pPr>
      <w:r>
        <w:rPr>
          <w:rFonts w:hint="eastAsia" w:ascii="楷体" w:hAnsi="楷体" w:eastAsia="楷体" w:cs="楷体"/>
          <w:b/>
          <w:sz w:val="28"/>
          <w:szCs w:val="28"/>
          <w:lang w:val="en-US" w:eastAsia="zh-CN"/>
        </w:rPr>
        <w:t xml:space="preserve">附录Ⅰ </w:t>
      </w:r>
      <w:r>
        <w:rPr>
          <w:rFonts w:hint="eastAsia" w:ascii="楷体" w:hAnsi="楷体" w:eastAsia="楷体" w:cs="楷体"/>
          <w:sz w:val="28"/>
          <w:szCs w:val="28"/>
        </w:rPr>
        <w:t>PSM-DID方法进行稳健性检验</w:t>
      </w:r>
    </w:p>
    <w:p>
      <w:pPr>
        <w:keepNext w:val="0"/>
        <w:keepLines w:val="0"/>
        <w:pageBreakBefore w:val="0"/>
        <w:kinsoku/>
        <w:wordWrap/>
        <w:overflowPunct/>
        <w:topLinePunct w:val="0"/>
        <w:bidi w:val="0"/>
        <w:snapToGrid/>
        <w:spacing w:line="440" w:lineRule="exact"/>
        <w:ind w:firstLine="420"/>
        <w:textAlignment w:val="auto"/>
        <w:rPr>
          <w:rFonts w:hint="eastAsia" w:ascii="仿宋" w:hAnsi="仿宋" w:eastAsia="仿宋" w:cs="仿宋"/>
          <w:sz w:val="21"/>
          <w:szCs w:val="21"/>
        </w:rPr>
      </w:pPr>
      <w:r>
        <w:rPr>
          <w:rFonts w:hint="eastAsia" w:ascii="仿宋" w:hAnsi="仿宋" w:eastAsia="仿宋" w:cs="仿宋"/>
          <w:sz w:val="21"/>
          <w:szCs w:val="21"/>
        </w:rPr>
        <w:t>倾向评分匹配前后处理组和参照组相关控制变量的差异如表</w:t>
      </w:r>
      <w:r>
        <w:rPr>
          <w:rFonts w:hint="eastAsia" w:ascii="仿宋" w:hAnsi="仿宋" w:eastAsia="仿宋" w:cs="仿宋"/>
          <w:b/>
          <w:sz w:val="21"/>
          <w:szCs w:val="21"/>
          <w:lang w:val="en-US" w:eastAsia="zh-CN"/>
        </w:rPr>
        <w:t>Ⅰ</w:t>
      </w:r>
      <w:r>
        <w:rPr>
          <w:rFonts w:hint="eastAsia" w:ascii="仿宋" w:hAnsi="仿宋" w:eastAsia="仿宋" w:cs="仿宋"/>
          <w:sz w:val="21"/>
          <w:szCs w:val="21"/>
        </w:rPr>
        <w:t>1所示，经过倾向评分匹配之后，相应变量的差异得到了有效控制。PSM-DID的估计结果如表</w:t>
      </w:r>
      <w:r>
        <w:rPr>
          <w:rFonts w:hint="eastAsia" w:ascii="仿宋" w:hAnsi="仿宋" w:eastAsia="仿宋" w:cs="仿宋"/>
          <w:b/>
          <w:sz w:val="21"/>
          <w:szCs w:val="21"/>
          <w:lang w:val="en-US" w:eastAsia="zh-CN"/>
        </w:rPr>
        <w:t>Ⅰ</w:t>
      </w:r>
      <w:r>
        <w:rPr>
          <w:rFonts w:hint="eastAsia" w:ascii="仿宋" w:hAnsi="仿宋" w:eastAsia="仿宋" w:cs="仿宋"/>
          <w:sz w:val="21"/>
          <w:szCs w:val="21"/>
        </w:rPr>
        <w:t>2第（1）-（3）列所示，表</w:t>
      </w:r>
      <w:r>
        <w:rPr>
          <w:rFonts w:hint="eastAsia" w:ascii="仿宋" w:hAnsi="仿宋" w:eastAsia="仿宋" w:cs="仿宋"/>
          <w:b/>
          <w:sz w:val="21"/>
          <w:szCs w:val="21"/>
          <w:lang w:val="en-US" w:eastAsia="zh-CN"/>
        </w:rPr>
        <w:t>Ⅰ</w:t>
      </w:r>
      <w:r>
        <w:rPr>
          <w:rFonts w:hint="eastAsia" w:ascii="仿宋" w:hAnsi="仿宋" w:eastAsia="仿宋" w:cs="仿宋"/>
          <w:sz w:val="21"/>
          <w:szCs w:val="21"/>
        </w:rPr>
        <w:t>2中因变量皆为企业借款增长率</w:t>
      </w:r>
      <m:oMath>
        <m:r>
          <m:rPr>
            <m:sty m:val="p"/>
          </m:rPr>
          <w:rPr>
            <w:rFonts w:hint="default" w:ascii="Cambria Math" w:hAnsi="Cambria Math" w:eastAsia="仿宋" w:cs="仿宋"/>
            <w:sz w:val="21"/>
            <w:szCs w:val="21"/>
          </w:rPr>
          <m:t>Δ</m:t>
        </m:r>
        <m:r>
          <m:rPr/>
          <w:rPr>
            <w:rFonts w:hint="eastAsia" w:ascii="Cambria Math" w:hAnsi="Cambria Math" w:eastAsia="仿宋" w:cs="仿宋"/>
            <w:sz w:val="21"/>
            <w:szCs w:val="21"/>
          </w:rPr>
          <m:t>Loan</m:t>
        </m:r>
      </m:oMath>
      <w:r>
        <w:rPr>
          <w:rFonts w:hint="eastAsia" w:ascii="仿宋" w:hAnsi="仿宋" w:eastAsia="仿宋" w:cs="仿宋"/>
          <w:sz w:val="21"/>
          <w:szCs w:val="21"/>
        </w:rPr>
        <w:t>。对于国有企业，变量</w:t>
      </w:r>
      <w:r>
        <w:rPr>
          <w:rFonts w:hint="eastAsia" w:ascii="仿宋" w:hAnsi="仿宋" w:eastAsia="仿宋" w:cs="仿宋"/>
          <w:i/>
          <w:kern w:val="0"/>
          <w:sz w:val="21"/>
          <w:szCs w:val="21"/>
        </w:rPr>
        <w:t>Post×Treat</w:t>
      </w:r>
      <w:r>
        <w:rPr>
          <w:rFonts w:hint="eastAsia" w:ascii="仿宋" w:hAnsi="仿宋" w:eastAsia="仿宋" w:cs="仿宋"/>
          <w:sz w:val="21"/>
          <w:szCs w:val="21"/>
        </w:rPr>
        <w:t>的系数为-0.282，并在1%水平上显著，而对于民营企业，相应变量系数并不显著。因此，PSM-DID的估计结果同样支持我们的研究结论。</w:t>
      </w:r>
      <w:bookmarkStart w:id="0" w:name="_Hlk69654252"/>
    </w:p>
    <w:p>
      <w:pPr>
        <w:keepNext w:val="0"/>
        <w:keepLines w:val="0"/>
        <w:pageBreakBefore w:val="0"/>
        <w:kinsoku/>
        <w:wordWrap/>
        <w:overflowPunct/>
        <w:topLinePunct w:val="0"/>
        <w:bidi w:val="0"/>
        <w:snapToGrid/>
        <w:spacing w:line="440" w:lineRule="exact"/>
        <w:ind w:firstLine="420"/>
        <w:textAlignment w:val="auto"/>
        <w:rPr>
          <w:rFonts w:hint="eastAsia" w:ascii="仿宋" w:hAnsi="仿宋" w:eastAsia="仿宋" w:cs="仿宋"/>
          <w:sz w:val="21"/>
          <w:szCs w:val="21"/>
        </w:rPr>
      </w:pPr>
      <w:r>
        <w:rPr>
          <w:rFonts w:hint="eastAsia" w:ascii="仿宋" w:hAnsi="仿宋" w:eastAsia="仿宋" w:cs="仿宋"/>
          <w:sz w:val="21"/>
          <w:szCs w:val="21"/>
        </w:rPr>
        <w:t>我们也尝试以《上市公司环保核查行业分类管理名录》（中国生态环境部2008年发布）界定的重污染行业上市公司作为处理组，重新进行检验。重污染行业不仅包括前文六大“两高”行业，同时包括黑金矿采、造纸业和皮革羽毛等污染行业。重新检验结果如表</w:t>
      </w:r>
      <w:r>
        <w:rPr>
          <w:rFonts w:hint="eastAsia" w:ascii="仿宋" w:hAnsi="仿宋" w:eastAsia="仿宋" w:cs="仿宋"/>
          <w:b/>
          <w:sz w:val="21"/>
          <w:szCs w:val="21"/>
          <w:lang w:val="en-US" w:eastAsia="zh-CN"/>
        </w:rPr>
        <w:t>Ⅰ</w:t>
      </w:r>
      <w:r>
        <w:rPr>
          <w:rFonts w:hint="eastAsia" w:ascii="仿宋" w:hAnsi="仿宋" w:eastAsia="仿宋" w:cs="仿宋"/>
          <w:sz w:val="21"/>
          <w:szCs w:val="21"/>
        </w:rPr>
        <w:t>2第（4）-（6）列所示，重新构建处置变量</w:t>
      </w:r>
      <w:r>
        <w:rPr>
          <w:rFonts w:hint="eastAsia" w:ascii="仿宋" w:hAnsi="仿宋" w:eastAsia="仿宋" w:cs="仿宋"/>
          <w:i/>
          <w:iCs/>
          <w:sz w:val="21"/>
          <w:szCs w:val="21"/>
        </w:rPr>
        <w:t>Treat</w:t>
      </w:r>
      <w:r>
        <w:rPr>
          <w:rFonts w:hint="eastAsia" w:ascii="仿宋" w:hAnsi="仿宋" w:eastAsia="仿宋" w:cs="仿宋"/>
          <w:sz w:val="21"/>
          <w:szCs w:val="21"/>
        </w:rPr>
        <w:t>后，本文研究结论依然成立。</w:t>
      </w:r>
      <w:bookmarkEnd w:id="0"/>
    </w:p>
    <w:p>
      <w:pPr>
        <w:keepNext w:val="0"/>
        <w:keepLines w:val="0"/>
        <w:pageBreakBefore w:val="0"/>
        <w:kinsoku/>
        <w:wordWrap/>
        <w:overflowPunct/>
        <w:topLinePunct w:val="0"/>
        <w:bidi w:val="0"/>
        <w:snapToGrid/>
        <w:spacing w:line="440" w:lineRule="exact"/>
        <w:ind w:firstLine="420"/>
        <w:textAlignment w:val="auto"/>
        <w:rPr>
          <w:rFonts w:hint="eastAsia" w:ascii="仿宋" w:hAnsi="仿宋" w:eastAsia="仿宋" w:cs="仿宋"/>
          <w:sz w:val="21"/>
          <w:szCs w:val="21"/>
        </w:rPr>
      </w:pPr>
    </w:p>
    <w:p>
      <w:pPr>
        <w:pStyle w:val="7"/>
        <w:keepNext w:val="0"/>
        <w:keepLines w:val="0"/>
        <w:pageBreakBefore w:val="0"/>
        <w:kinsoku/>
        <w:wordWrap/>
        <w:overflowPunct/>
        <w:topLinePunct w:val="0"/>
        <w:bidi w:val="0"/>
        <w:snapToGrid/>
        <w:spacing w:before="156" w:beforeLines="50" w:line="4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sz w:val="20"/>
          <w:szCs w:val="20"/>
          <w:lang w:val="en-US" w:eastAsia="zh-CN"/>
        </w:rPr>
        <w:t>Ⅰ</w:t>
      </w:r>
      <w:r>
        <w:rPr>
          <w:rFonts w:hint="eastAsia" w:ascii="宋体" w:hAnsi="宋体" w:eastAsia="宋体" w:cs="宋体"/>
          <w:b/>
          <w:bCs/>
          <w:sz w:val="20"/>
          <w:szCs w:val="20"/>
        </w:rPr>
        <w:t>1  倾向评分匹配前后处理组与参照组相应变量的差异</w:t>
      </w:r>
    </w:p>
    <w:tbl>
      <w:tblPr>
        <w:tblStyle w:val="5"/>
        <w:tblW w:w="5386" w:type="dxa"/>
        <w:jc w:val="center"/>
        <w:tblLayout w:type="autofit"/>
        <w:tblCellMar>
          <w:top w:w="0" w:type="dxa"/>
          <w:left w:w="108" w:type="dxa"/>
          <w:bottom w:w="0" w:type="dxa"/>
          <w:right w:w="108" w:type="dxa"/>
        </w:tblCellMar>
      </w:tblPr>
      <w:tblGrid>
        <w:gridCol w:w="1587"/>
        <w:gridCol w:w="1897"/>
        <w:gridCol w:w="1902"/>
      </w:tblGrid>
      <w:tr>
        <w:tblPrEx>
          <w:tblCellMar>
            <w:top w:w="0" w:type="dxa"/>
            <w:left w:w="108" w:type="dxa"/>
            <w:bottom w:w="0" w:type="dxa"/>
            <w:right w:w="108" w:type="dxa"/>
          </w:tblCellMar>
        </w:tblPrEx>
        <w:trPr>
          <w:trHeight w:val="213" w:hRule="atLeast"/>
          <w:jc w:val="center"/>
        </w:trPr>
        <w:tc>
          <w:tcPr>
            <w:tcW w:w="1587" w:type="dxa"/>
            <w:vMerge w:val="restart"/>
            <w:tcBorders>
              <w:top w:val="doub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相关变量</w:t>
            </w:r>
          </w:p>
        </w:tc>
        <w:tc>
          <w:tcPr>
            <w:tcW w:w="3799" w:type="dxa"/>
            <w:gridSpan w:val="2"/>
            <w:tcBorders>
              <w:top w:val="double" w:color="auto" w:sz="4" w:space="0"/>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绿色信贷政策实施前相关变量</w:t>
            </w:r>
          </w:p>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在处理组与参照组之间的差异</w:t>
            </w:r>
          </w:p>
        </w:tc>
      </w:tr>
      <w:tr>
        <w:tblPrEx>
          <w:tblCellMar>
            <w:top w:w="0" w:type="dxa"/>
            <w:left w:w="108" w:type="dxa"/>
            <w:bottom w:w="0" w:type="dxa"/>
            <w:right w:w="108" w:type="dxa"/>
          </w:tblCellMar>
        </w:tblPrEx>
        <w:trPr>
          <w:trHeight w:val="213" w:hRule="atLeast"/>
          <w:jc w:val="center"/>
        </w:trPr>
        <w:tc>
          <w:tcPr>
            <w:tcW w:w="1587" w:type="dxa"/>
            <w:vMerge w:val="continue"/>
            <w:tcBorders>
              <w:top w:val="nil"/>
              <w:left w:val="nil"/>
              <w:bottom w:val="single" w:color="000000" w:sz="4" w:space="0"/>
              <w:right w:val="nil"/>
            </w:tcBorders>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p>
        </w:tc>
        <w:tc>
          <w:tcPr>
            <w:tcW w:w="1897" w:type="dxa"/>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未经倾向评分匹配</w:t>
            </w:r>
          </w:p>
        </w:tc>
        <w:tc>
          <w:tcPr>
            <w:tcW w:w="1902" w:type="dxa"/>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经过倾向评分匹配</w:t>
            </w:r>
          </w:p>
        </w:tc>
      </w:tr>
      <w:tr>
        <w:tblPrEx>
          <w:tblCellMar>
            <w:top w:w="0" w:type="dxa"/>
            <w:left w:w="108" w:type="dxa"/>
            <w:bottom w:w="0" w:type="dxa"/>
            <w:right w:w="108" w:type="dxa"/>
          </w:tblCellMar>
        </w:tblPrEx>
        <w:trPr>
          <w:trHeight w:val="249" w:hRule="atLeast"/>
          <w:jc w:val="center"/>
        </w:trPr>
        <w:tc>
          <w:tcPr>
            <w:tcW w:w="1587"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企业规模</w:t>
            </w:r>
          </w:p>
        </w:tc>
        <w:tc>
          <w:tcPr>
            <w:tcW w:w="1897"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0.570</w:t>
            </w:r>
            <w:r>
              <w:rPr>
                <w:rFonts w:hint="eastAsia" w:ascii="仿宋" w:hAnsi="仿宋" w:eastAsia="仿宋" w:cs="仿宋"/>
                <w:sz w:val="18"/>
                <w:szCs w:val="18"/>
                <w:vertAlign w:val="superscript"/>
              </w:rPr>
              <w:t>***</w:t>
            </w:r>
          </w:p>
        </w:tc>
        <w:tc>
          <w:tcPr>
            <w:tcW w:w="1902" w:type="dxa"/>
            <w:tcBorders>
              <w:top w:val="single" w:color="000000" w:sz="4" w:space="0"/>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0.175</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(6.38)</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(1.49)</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资产结构</w:t>
            </w: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0.143</w:t>
            </w:r>
            <w:r>
              <w:rPr>
                <w:rFonts w:hint="eastAsia" w:ascii="仿宋" w:hAnsi="仿宋" w:eastAsia="仿宋" w:cs="仿宋"/>
                <w:sz w:val="18"/>
                <w:szCs w:val="18"/>
                <w:vertAlign w:val="superscript"/>
              </w:rPr>
              <w:t>***</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0.008</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(9.93)</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(0.43)</w:t>
            </w:r>
          </w:p>
        </w:tc>
      </w:tr>
      <w:tr>
        <w:tblPrEx>
          <w:tblCellMar>
            <w:top w:w="0" w:type="dxa"/>
            <w:left w:w="108" w:type="dxa"/>
            <w:bottom w:w="0" w:type="dxa"/>
            <w:right w:w="108" w:type="dxa"/>
          </w:tblCellMar>
        </w:tblPrEx>
        <w:trPr>
          <w:trHeight w:val="70"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盈利能力</w:t>
            </w: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0.023</w:t>
            </w:r>
            <w:r>
              <w:rPr>
                <w:rFonts w:hint="eastAsia" w:ascii="仿宋" w:hAnsi="仿宋" w:eastAsia="仿宋" w:cs="仿宋"/>
                <w:sz w:val="18"/>
                <w:szCs w:val="18"/>
                <w:vertAlign w:val="superscript"/>
              </w:rPr>
              <w:t>***</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0.008</w:t>
            </w:r>
          </w:p>
        </w:tc>
      </w:tr>
      <w:tr>
        <w:tblPrEx>
          <w:tblCellMar>
            <w:top w:w="0" w:type="dxa"/>
            <w:left w:w="108" w:type="dxa"/>
            <w:bottom w:w="0" w:type="dxa"/>
            <w:right w:w="108" w:type="dxa"/>
          </w:tblCellMar>
        </w:tblPrEx>
        <w:trPr>
          <w:trHeight w:val="70"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(3.79)</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(0.98)</w:t>
            </w:r>
          </w:p>
        </w:tc>
      </w:tr>
      <w:tr>
        <w:tblPrEx>
          <w:tblCellMar>
            <w:top w:w="0" w:type="dxa"/>
            <w:left w:w="108" w:type="dxa"/>
            <w:bottom w:w="0" w:type="dxa"/>
            <w:right w:w="108" w:type="dxa"/>
          </w:tblCellMar>
        </w:tblPrEx>
        <w:trPr>
          <w:trHeight w:val="70"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财务杠杆</w:t>
            </w: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-0.011</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0.011</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(-0.58)</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(0.60)</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成长性</w:t>
            </w: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0.014</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0.043</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right"/>
              <w:textAlignment w:val="auto"/>
              <w:rPr>
                <w:rFonts w:hint="eastAsia" w:ascii="仿宋" w:hAnsi="仿宋" w:eastAsia="仿宋" w:cs="仿宋"/>
                <w:sz w:val="18"/>
                <w:szCs w:val="18"/>
              </w:rPr>
            </w:pP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(0.25)</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(0.88)</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sz w:val="18"/>
                <w:szCs w:val="18"/>
              </w:rPr>
              <w:t>外部融资需求</w:t>
            </w:r>
          </w:p>
        </w:tc>
        <w:tc>
          <w:tcPr>
            <w:tcW w:w="1897"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0.226</w:t>
            </w:r>
            <w:r>
              <w:rPr>
                <w:rFonts w:hint="eastAsia" w:ascii="仿宋" w:hAnsi="仿宋" w:eastAsia="仿宋" w:cs="仿宋"/>
                <w:sz w:val="18"/>
                <w:szCs w:val="18"/>
                <w:vertAlign w:val="superscript"/>
              </w:rPr>
              <w:t>***</w:t>
            </w:r>
          </w:p>
        </w:tc>
        <w:tc>
          <w:tcPr>
            <w:tcW w:w="190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-0.055</w:t>
            </w:r>
          </w:p>
        </w:tc>
      </w:tr>
      <w:tr>
        <w:tblPrEx>
          <w:tblCellMar>
            <w:top w:w="0" w:type="dxa"/>
            <w:left w:w="108" w:type="dxa"/>
            <w:bottom w:w="0" w:type="dxa"/>
            <w:right w:w="108" w:type="dxa"/>
          </w:tblCellMar>
        </w:tblPrEx>
        <w:trPr>
          <w:trHeight w:val="213" w:hRule="atLeast"/>
          <w:jc w:val="center"/>
        </w:trPr>
        <w:tc>
          <w:tcPr>
            <w:tcW w:w="1587" w:type="dxa"/>
            <w:tcBorders>
              <w:top w:val="nil"/>
              <w:left w:val="nil"/>
              <w:bottom w:val="double" w:color="auto"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right"/>
              <w:textAlignment w:val="auto"/>
              <w:rPr>
                <w:rFonts w:hint="eastAsia" w:ascii="仿宋" w:hAnsi="仿宋" w:eastAsia="仿宋" w:cs="仿宋"/>
                <w:sz w:val="18"/>
                <w:szCs w:val="18"/>
              </w:rPr>
            </w:pPr>
          </w:p>
        </w:tc>
        <w:tc>
          <w:tcPr>
            <w:tcW w:w="1897" w:type="dxa"/>
            <w:tcBorders>
              <w:top w:val="nil"/>
              <w:left w:val="nil"/>
              <w:bottom w:val="double" w:color="auto"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(2.73)</w:t>
            </w:r>
          </w:p>
        </w:tc>
        <w:tc>
          <w:tcPr>
            <w:tcW w:w="1902" w:type="dxa"/>
            <w:tcBorders>
              <w:top w:val="nil"/>
              <w:left w:val="nil"/>
              <w:bottom w:val="double" w:color="auto" w:sz="4" w:space="0"/>
              <w:right w:val="nil"/>
            </w:tcBorders>
            <w:shd w:val="clear" w:color="auto" w:fill="auto"/>
            <w:noWrap/>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(-0.91)</w:t>
            </w:r>
          </w:p>
        </w:tc>
      </w:tr>
    </w:tbl>
    <w:p>
      <w:pPr>
        <w:keepNext w:val="0"/>
        <w:keepLines w:val="0"/>
        <w:pageBreakBefore w:val="0"/>
        <w:kinsoku/>
        <w:wordWrap/>
        <w:overflowPunct/>
        <w:topLinePunct w:val="0"/>
        <w:bidi w:val="0"/>
        <w:snapToGrid/>
        <w:spacing w:line="440" w:lineRule="exact"/>
        <w:ind w:firstLine="1440" w:firstLineChars="800"/>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注：</w:t>
      </w:r>
      <w:r>
        <w:rPr>
          <w:rFonts w:hint="eastAsia" w:ascii="仿宋" w:hAnsi="仿宋" w:eastAsia="仿宋" w:cs="仿宋"/>
          <w:sz w:val="18"/>
          <w:szCs w:val="18"/>
        </w:rPr>
        <w:t>括号内为</w:t>
      </w:r>
      <w:r>
        <w:rPr>
          <w:rFonts w:hint="eastAsia" w:ascii="仿宋" w:hAnsi="仿宋" w:eastAsia="仿宋" w:cs="仿宋"/>
          <w:i/>
          <w:iCs/>
          <w:sz w:val="18"/>
          <w:szCs w:val="18"/>
        </w:rPr>
        <w:t>t</w:t>
      </w:r>
      <w:r>
        <w:rPr>
          <w:rFonts w:hint="eastAsia" w:ascii="仿宋" w:hAnsi="仿宋" w:eastAsia="仿宋" w:cs="仿宋"/>
          <w:sz w:val="18"/>
          <w:szCs w:val="18"/>
        </w:rPr>
        <w:t>值；***、**、*分别代表1%、5%、10%的显著性水平。</w:t>
      </w:r>
    </w:p>
    <w:p>
      <w:pPr>
        <w:pStyle w:val="7"/>
        <w:keepNext w:val="0"/>
        <w:keepLines w:val="0"/>
        <w:pageBreakBefore w:val="0"/>
        <w:kinsoku/>
        <w:wordWrap/>
        <w:overflowPunct/>
        <w:topLinePunct w:val="0"/>
        <w:bidi w:val="0"/>
        <w:snapToGrid/>
        <w:spacing w:before="156" w:beforeLines="50" w:line="440" w:lineRule="exact"/>
        <w:jc w:val="center"/>
        <w:textAlignment w:val="auto"/>
        <w:rPr>
          <w:rFonts w:hint="eastAsia" w:ascii="宋体" w:hAnsi="宋体" w:eastAsia="宋体" w:cs="宋体"/>
          <w:b/>
          <w:bCs/>
          <w:sz w:val="20"/>
          <w:szCs w:val="20"/>
        </w:rPr>
      </w:pPr>
    </w:p>
    <w:p>
      <w:pPr>
        <w:pStyle w:val="7"/>
        <w:keepNext w:val="0"/>
        <w:keepLines w:val="0"/>
        <w:pageBreakBefore w:val="0"/>
        <w:kinsoku/>
        <w:wordWrap/>
        <w:overflowPunct/>
        <w:topLinePunct w:val="0"/>
        <w:bidi w:val="0"/>
        <w:snapToGrid/>
        <w:spacing w:before="156" w:beforeLines="50" w:line="440" w:lineRule="exact"/>
        <w:jc w:val="center"/>
        <w:textAlignment w:val="auto"/>
        <w:rPr>
          <w:rFonts w:hint="eastAsia" w:ascii="宋体" w:hAnsi="宋体" w:eastAsia="宋体" w:cs="宋体"/>
          <w:b/>
          <w:bCs/>
          <w:sz w:val="20"/>
          <w:szCs w:val="20"/>
        </w:rPr>
      </w:pPr>
    </w:p>
    <w:p>
      <w:pPr>
        <w:pStyle w:val="7"/>
        <w:keepNext w:val="0"/>
        <w:keepLines w:val="0"/>
        <w:pageBreakBefore w:val="0"/>
        <w:kinsoku/>
        <w:wordWrap/>
        <w:overflowPunct/>
        <w:topLinePunct w:val="0"/>
        <w:bidi w:val="0"/>
        <w:snapToGrid/>
        <w:spacing w:before="156" w:beforeLines="50" w:line="4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Ⅰ</w:t>
      </w:r>
      <w:r>
        <w:rPr>
          <w:rFonts w:hint="eastAsia" w:ascii="宋体" w:hAnsi="宋体" w:eastAsia="宋体" w:cs="宋体"/>
          <w:b/>
          <w:bCs/>
          <w:sz w:val="20"/>
          <w:szCs w:val="20"/>
        </w:rPr>
        <w:t>2  稳健性检验结果</w:t>
      </w:r>
    </w:p>
    <w:tbl>
      <w:tblPr>
        <w:tblStyle w:val="5"/>
        <w:tblW w:w="6604" w:type="dxa"/>
        <w:jc w:val="center"/>
        <w:tblLayout w:type="fixed"/>
        <w:tblCellMar>
          <w:top w:w="0" w:type="dxa"/>
          <w:left w:w="108" w:type="dxa"/>
          <w:bottom w:w="0" w:type="dxa"/>
          <w:right w:w="108" w:type="dxa"/>
        </w:tblCellMar>
      </w:tblPr>
      <w:tblGrid>
        <w:gridCol w:w="1430"/>
        <w:gridCol w:w="861"/>
        <w:gridCol w:w="861"/>
        <w:gridCol w:w="865"/>
        <w:gridCol w:w="862"/>
        <w:gridCol w:w="862"/>
        <w:gridCol w:w="863"/>
      </w:tblGrid>
      <w:tr>
        <w:tblPrEx>
          <w:tblCellMar>
            <w:top w:w="0" w:type="dxa"/>
            <w:left w:w="108" w:type="dxa"/>
            <w:bottom w:w="0" w:type="dxa"/>
            <w:right w:w="108" w:type="dxa"/>
          </w:tblCellMar>
        </w:tblPrEx>
        <w:trPr>
          <w:trHeight w:val="254" w:hRule="atLeast"/>
          <w:jc w:val="center"/>
        </w:trPr>
        <w:tc>
          <w:tcPr>
            <w:tcW w:w="1430" w:type="dxa"/>
            <w:vMerge w:val="restart"/>
            <w:tcBorders>
              <w:top w:val="double" w:color="auto" w:sz="4" w:space="0"/>
              <w:left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r>
              <w:rPr>
                <w:rFonts w:hint="eastAsia" w:ascii="宋体" w:hAnsi="宋体" w:eastAsia="宋体" w:cs="宋体"/>
                <w:kern w:val="0"/>
                <w:sz w:val="18"/>
                <w:szCs w:val="18"/>
              </w:rPr>
              <w:t>变量</w:t>
            </w:r>
          </w:p>
        </w:tc>
        <w:tc>
          <w:tcPr>
            <w:tcW w:w="2587" w:type="dxa"/>
            <w:gridSpan w:val="3"/>
            <w:tcBorders>
              <w:top w:val="double" w:color="auto" w:sz="4" w:space="0"/>
              <w:left w:val="nil"/>
              <w:bottom w:val="single" w:color="auto" w:sz="4" w:space="0"/>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PSM-DID</w:t>
            </w:r>
          </w:p>
        </w:tc>
        <w:tc>
          <w:tcPr>
            <w:tcW w:w="2587" w:type="dxa"/>
            <w:gridSpan w:val="3"/>
            <w:tcBorders>
              <w:top w:val="double" w:color="auto" w:sz="4" w:space="0"/>
              <w:left w:val="single" w:color="FFFFFF" w:themeColor="background1" w:sz="36" w:space="0"/>
              <w:bottom w:val="single" w:color="auto" w:sz="4" w:space="0"/>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重新构建变量</w:t>
            </w:r>
            <w:r>
              <w:rPr>
                <w:rFonts w:hint="eastAsia" w:ascii="宋体" w:hAnsi="宋体" w:eastAsia="宋体" w:cs="宋体"/>
                <w:i/>
                <w:iCs/>
                <w:kern w:val="0"/>
                <w:sz w:val="18"/>
                <w:szCs w:val="18"/>
              </w:rPr>
              <w:t>Treat</w:t>
            </w:r>
          </w:p>
        </w:tc>
      </w:tr>
      <w:tr>
        <w:tblPrEx>
          <w:tblCellMar>
            <w:top w:w="0" w:type="dxa"/>
            <w:left w:w="108" w:type="dxa"/>
            <w:bottom w:w="0" w:type="dxa"/>
            <w:right w:w="108" w:type="dxa"/>
          </w:tblCellMar>
        </w:tblPrEx>
        <w:trPr>
          <w:trHeight w:val="254" w:hRule="atLeast"/>
          <w:jc w:val="center"/>
        </w:trPr>
        <w:tc>
          <w:tcPr>
            <w:tcW w:w="1430" w:type="dxa"/>
            <w:vMerge w:val="continue"/>
            <w:tcBorders>
              <w:left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p>
        </w:tc>
        <w:tc>
          <w:tcPr>
            <w:tcW w:w="861"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全样本</w:t>
            </w:r>
          </w:p>
        </w:tc>
        <w:tc>
          <w:tcPr>
            <w:tcW w:w="861"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国企</w:t>
            </w:r>
          </w:p>
        </w:tc>
        <w:tc>
          <w:tcPr>
            <w:tcW w:w="865" w:type="dxa"/>
            <w:tcBorders>
              <w:top w:val="single" w:color="auto" w:sz="4" w:space="0"/>
              <w:left w:val="nil"/>
              <w:bottom w:val="single" w:color="auto" w:sz="4" w:space="0"/>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民企</w:t>
            </w:r>
          </w:p>
        </w:tc>
        <w:tc>
          <w:tcPr>
            <w:tcW w:w="862" w:type="dxa"/>
            <w:tcBorders>
              <w:top w:val="single" w:color="auto" w:sz="4" w:space="0"/>
              <w:left w:val="single" w:color="FFFFFF" w:themeColor="background1" w:sz="36" w:space="0"/>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全样本</w:t>
            </w:r>
          </w:p>
        </w:tc>
        <w:tc>
          <w:tcPr>
            <w:tcW w:w="862"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国企</w:t>
            </w:r>
          </w:p>
        </w:tc>
        <w:tc>
          <w:tcPr>
            <w:tcW w:w="863"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民企</w:t>
            </w:r>
          </w:p>
        </w:tc>
      </w:tr>
      <w:tr>
        <w:tblPrEx>
          <w:tblCellMar>
            <w:top w:w="0" w:type="dxa"/>
            <w:left w:w="108" w:type="dxa"/>
            <w:bottom w:w="0" w:type="dxa"/>
            <w:right w:w="108" w:type="dxa"/>
          </w:tblCellMar>
        </w:tblPrEx>
        <w:trPr>
          <w:trHeight w:val="254" w:hRule="atLeast"/>
          <w:jc w:val="center"/>
        </w:trPr>
        <w:tc>
          <w:tcPr>
            <w:tcW w:w="1430" w:type="dxa"/>
            <w:vMerge w:val="continue"/>
            <w:tcBorders>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p>
        </w:tc>
        <w:tc>
          <w:tcPr>
            <w:tcW w:w="861"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861"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865" w:type="dxa"/>
            <w:tcBorders>
              <w:top w:val="single" w:color="auto" w:sz="4" w:space="0"/>
              <w:left w:val="nil"/>
              <w:bottom w:val="nil"/>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862" w:type="dxa"/>
            <w:tcBorders>
              <w:top w:val="single" w:color="auto" w:sz="4" w:space="0"/>
              <w:left w:val="single" w:color="FFFFFF" w:themeColor="background1" w:sz="36" w:space="0"/>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862"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863"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p>
        </w:tc>
      </w:tr>
      <w:tr>
        <w:tblPrEx>
          <w:tblCellMar>
            <w:top w:w="0" w:type="dxa"/>
            <w:left w:w="108" w:type="dxa"/>
            <w:bottom w:w="0" w:type="dxa"/>
            <w:right w:w="108" w:type="dxa"/>
          </w:tblCellMar>
        </w:tblPrEx>
        <w:trPr>
          <w:trHeight w:val="265" w:hRule="atLeast"/>
          <w:jc w:val="center"/>
        </w:trPr>
        <w:tc>
          <w:tcPr>
            <w:tcW w:w="1430"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i/>
                <w:iCs/>
                <w:kern w:val="0"/>
                <w:sz w:val="18"/>
                <w:szCs w:val="18"/>
              </w:rPr>
            </w:pPr>
            <w:r>
              <w:rPr>
                <w:rFonts w:hint="eastAsia" w:ascii="宋体" w:hAnsi="宋体" w:eastAsia="宋体" w:cs="宋体"/>
                <w:i/>
                <w:iCs/>
                <w:kern w:val="0"/>
                <w:sz w:val="18"/>
                <w:szCs w:val="18"/>
              </w:rPr>
              <w:t>Post×Treat</w:t>
            </w:r>
          </w:p>
        </w:tc>
        <w:tc>
          <w:tcPr>
            <w:tcW w:w="86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-0.169</w:t>
            </w:r>
            <w:r>
              <w:rPr>
                <w:rFonts w:hint="eastAsia" w:ascii="宋体" w:hAnsi="宋体" w:eastAsia="宋体" w:cs="宋体"/>
                <w:kern w:val="0"/>
                <w:sz w:val="18"/>
                <w:szCs w:val="18"/>
                <w:vertAlign w:val="superscript"/>
              </w:rPr>
              <w:t>*</w:t>
            </w:r>
          </w:p>
        </w:tc>
        <w:tc>
          <w:tcPr>
            <w:tcW w:w="86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-0.282</w:t>
            </w:r>
            <w:r>
              <w:rPr>
                <w:rFonts w:hint="eastAsia" w:ascii="宋体" w:hAnsi="宋体" w:eastAsia="宋体" w:cs="宋体"/>
                <w:kern w:val="0"/>
                <w:sz w:val="18"/>
                <w:szCs w:val="18"/>
                <w:vertAlign w:val="superscript"/>
              </w:rPr>
              <w:t>***</w:t>
            </w:r>
          </w:p>
        </w:tc>
        <w:tc>
          <w:tcPr>
            <w:tcW w:w="865"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-0.006</w:t>
            </w:r>
          </w:p>
        </w:tc>
        <w:tc>
          <w:tcPr>
            <w:tcW w:w="86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-0.127</w:t>
            </w:r>
            <w:r>
              <w:rPr>
                <w:rFonts w:hint="eastAsia" w:ascii="宋体" w:hAnsi="宋体" w:eastAsia="宋体" w:cs="宋体"/>
                <w:kern w:val="0"/>
                <w:sz w:val="18"/>
                <w:szCs w:val="18"/>
                <w:vertAlign w:val="superscript"/>
              </w:rPr>
              <w:t>**</w:t>
            </w:r>
          </w:p>
        </w:tc>
        <w:tc>
          <w:tcPr>
            <w:tcW w:w="86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-0.162</w:t>
            </w:r>
            <w:r>
              <w:rPr>
                <w:rFonts w:hint="eastAsia" w:ascii="宋体" w:hAnsi="宋体" w:eastAsia="宋体" w:cs="宋体"/>
                <w:kern w:val="0"/>
                <w:sz w:val="18"/>
                <w:szCs w:val="18"/>
                <w:vertAlign w:val="superscript"/>
              </w:rPr>
              <w:t>**</w:t>
            </w:r>
          </w:p>
        </w:tc>
        <w:tc>
          <w:tcPr>
            <w:tcW w:w="863"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-0.036</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i/>
                <w:iCs/>
                <w:kern w:val="0"/>
                <w:sz w:val="18"/>
                <w:szCs w:val="18"/>
              </w:rPr>
            </w:pPr>
          </w:p>
        </w:tc>
        <w:tc>
          <w:tcPr>
            <w:tcW w:w="86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(0.083)</w:t>
            </w:r>
          </w:p>
        </w:tc>
        <w:tc>
          <w:tcPr>
            <w:tcW w:w="86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(0.097)</w:t>
            </w:r>
          </w:p>
        </w:tc>
        <w:tc>
          <w:tcPr>
            <w:tcW w:w="865"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(0.153)</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(0.064)</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(0.082)</w:t>
            </w:r>
          </w:p>
        </w:tc>
        <w:tc>
          <w:tcPr>
            <w:tcW w:w="863"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(0.110)</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i/>
                <w:iCs/>
                <w:kern w:val="0"/>
                <w:sz w:val="18"/>
                <w:szCs w:val="18"/>
              </w:rPr>
            </w:pPr>
            <w:r>
              <w:rPr>
                <w:rFonts w:hint="eastAsia" w:ascii="宋体" w:hAnsi="宋体" w:eastAsia="宋体" w:cs="宋体"/>
                <w:i/>
                <w:iCs/>
                <w:kern w:val="0"/>
                <w:sz w:val="18"/>
                <w:szCs w:val="18"/>
              </w:rPr>
              <w:t>Icg</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3"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i/>
                <w:iCs/>
                <w:kern w:val="0"/>
                <w:sz w:val="18"/>
                <w:szCs w:val="18"/>
              </w:rPr>
            </w:pPr>
            <w:r>
              <w:rPr>
                <w:rFonts w:hint="eastAsia" w:ascii="宋体" w:hAnsi="宋体" w:eastAsia="宋体" w:cs="宋体"/>
                <w:i/>
                <w:iCs/>
                <w:kern w:val="0"/>
                <w:sz w:val="18"/>
                <w:szCs w:val="18"/>
              </w:rPr>
              <w:t>Rfinance</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c>
          <w:tcPr>
            <w:tcW w:w="86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c>
          <w:tcPr>
            <w:tcW w:w="863"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No</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i/>
                <w:iCs/>
                <w:kern w:val="0"/>
                <w:sz w:val="18"/>
                <w:szCs w:val="18"/>
              </w:rPr>
            </w:pPr>
            <w:r>
              <w:rPr>
                <w:rFonts w:hint="eastAsia" w:ascii="宋体" w:hAnsi="宋体" w:eastAsia="宋体" w:cs="宋体"/>
                <w:i/>
                <w:iCs/>
                <w:kern w:val="0"/>
                <w:sz w:val="18"/>
                <w:szCs w:val="18"/>
              </w:rPr>
              <w:t>Control</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3"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r>
              <w:rPr>
                <w:rFonts w:hint="eastAsia" w:ascii="宋体" w:hAnsi="宋体" w:eastAsia="宋体" w:cs="宋体"/>
                <w:kern w:val="0"/>
                <w:sz w:val="18"/>
                <w:szCs w:val="18"/>
              </w:rPr>
              <w:t>年份固定效应</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1"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3"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r>
      <w:tr>
        <w:tblPrEx>
          <w:tblCellMar>
            <w:top w:w="0" w:type="dxa"/>
            <w:left w:w="108" w:type="dxa"/>
            <w:bottom w:w="0" w:type="dxa"/>
            <w:right w:w="108" w:type="dxa"/>
          </w:tblCellMar>
        </w:tblPrEx>
        <w:trPr>
          <w:trHeight w:val="265" w:hRule="atLeast"/>
          <w:jc w:val="center"/>
        </w:trPr>
        <w:tc>
          <w:tcPr>
            <w:tcW w:w="1430"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r>
              <w:rPr>
                <w:rFonts w:hint="eastAsia" w:ascii="宋体" w:hAnsi="宋体" w:eastAsia="宋体" w:cs="宋体"/>
                <w:kern w:val="0"/>
                <w:sz w:val="18"/>
                <w:szCs w:val="18"/>
              </w:rPr>
              <w:t>个体固定效应</w:t>
            </w:r>
          </w:p>
        </w:tc>
        <w:tc>
          <w:tcPr>
            <w:tcW w:w="861"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1"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5"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c>
          <w:tcPr>
            <w:tcW w:w="863"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Yes</w:t>
            </w:r>
          </w:p>
        </w:tc>
      </w:tr>
      <w:tr>
        <w:tblPrEx>
          <w:tblCellMar>
            <w:top w:w="0" w:type="dxa"/>
            <w:left w:w="108" w:type="dxa"/>
            <w:bottom w:w="0" w:type="dxa"/>
            <w:right w:w="108" w:type="dxa"/>
          </w:tblCellMar>
        </w:tblPrEx>
        <w:trPr>
          <w:trHeight w:val="265" w:hRule="atLeast"/>
          <w:jc w:val="center"/>
        </w:trPr>
        <w:tc>
          <w:tcPr>
            <w:tcW w:w="1430"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r>
              <w:rPr>
                <w:rFonts w:hint="eastAsia" w:ascii="宋体" w:hAnsi="宋体" w:eastAsia="宋体" w:cs="宋体"/>
                <w:i/>
                <w:iCs/>
                <w:kern w:val="0"/>
                <w:sz w:val="18"/>
                <w:szCs w:val="18"/>
              </w:rPr>
              <w:t>N</w:t>
            </w:r>
          </w:p>
        </w:tc>
        <w:tc>
          <w:tcPr>
            <w:tcW w:w="86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3945</w:t>
            </w:r>
          </w:p>
        </w:tc>
        <w:tc>
          <w:tcPr>
            <w:tcW w:w="86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2794</w:t>
            </w:r>
          </w:p>
        </w:tc>
        <w:tc>
          <w:tcPr>
            <w:tcW w:w="865"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1151</w:t>
            </w:r>
          </w:p>
        </w:tc>
        <w:tc>
          <w:tcPr>
            <w:tcW w:w="86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14461</w:t>
            </w:r>
          </w:p>
        </w:tc>
        <w:tc>
          <w:tcPr>
            <w:tcW w:w="86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7823</w:t>
            </w:r>
          </w:p>
        </w:tc>
        <w:tc>
          <w:tcPr>
            <w:tcW w:w="863"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6638</w:t>
            </w:r>
          </w:p>
        </w:tc>
      </w:tr>
      <w:tr>
        <w:tblPrEx>
          <w:tblCellMar>
            <w:top w:w="0" w:type="dxa"/>
            <w:left w:w="108" w:type="dxa"/>
            <w:bottom w:w="0" w:type="dxa"/>
            <w:right w:w="108" w:type="dxa"/>
          </w:tblCellMar>
        </w:tblPrEx>
        <w:trPr>
          <w:trHeight w:val="254" w:hRule="atLeast"/>
          <w:jc w:val="center"/>
        </w:trPr>
        <w:tc>
          <w:tcPr>
            <w:tcW w:w="1430"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18"/>
                <w:szCs w:val="18"/>
              </w:rPr>
            </w:pPr>
            <w:r>
              <w:rPr>
                <w:rFonts w:hint="eastAsia" w:ascii="宋体" w:hAnsi="宋体" w:eastAsia="宋体" w:cs="宋体"/>
                <w:i/>
                <w:iCs/>
                <w:kern w:val="0"/>
                <w:sz w:val="18"/>
                <w:szCs w:val="18"/>
              </w:rPr>
              <w:t>R</w:t>
            </w:r>
            <w:r>
              <w:rPr>
                <w:rFonts w:hint="eastAsia" w:ascii="宋体" w:hAnsi="宋体" w:eastAsia="宋体" w:cs="宋体"/>
                <w:kern w:val="0"/>
                <w:sz w:val="18"/>
                <w:szCs w:val="18"/>
                <w:vertAlign w:val="superscript"/>
              </w:rPr>
              <w:t>2</w:t>
            </w:r>
          </w:p>
        </w:tc>
        <w:tc>
          <w:tcPr>
            <w:tcW w:w="861" w:type="dxa"/>
            <w:tcBorders>
              <w:top w:val="nil"/>
              <w:left w:val="nil"/>
              <w:bottom w:val="double" w:color="auto" w:sz="4" w:space="0"/>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0.234</w:t>
            </w:r>
          </w:p>
        </w:tc>
        <w:tc>
          <w:tcPr>
            <w:tcW w:w="861" w:type="dxa"/>
            <w:tcBorders>
              <w:top w:val="nil"/>
              <w:left w:val="nil"/>
              <w:bottom w:val="double" w:color="auto" w:sz="4" w:space="0"/>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0.232</w:t>
            </w:r>
          </w:p>
        </w:tc>
        <w:tc>
          <w:tcPr>
            <w:tcW w:w="865" w:type="dxa"/>
            <w:tcBorders>
              <w:top w:val="nil"/>
              <w:left w:val="nil"/>
              <w:bottom w:val="double" w:color="auto" w:sz="4" w:space="0"/>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sz w:val="18"/>
                <w:szCs w:val="18"/>
              </w:rPr>
              <w:t>0.313</w:t>
            </w:r>
          </w:p>
        </w:tc>
        <w:tc>
          <w:tcPr>
            <w:tcW w:w="86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0.256</w:t>
            </w:r>
          </w:p>
        </w:tc>
        <w:tc>
          <w:tcPr>
            <w:tcW w:w="86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0.239</w:t>
            </w:r>
          </w:p>
        </w:tc>
        <w:tc>
          <w:tcPr>
            <w:tcW w:w="863"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0.279</w:t>
            </w:r>
          </w:p>
        </w:tc>
      </w:tr>
    </w:tbl>
    <w:p>
      <w:pPr>
        <w:keepNext w:val="0"/>
        <w:keepLines w:val="0"/>
        <w:pageBreakBefore w:val="0"/>
        <w:kinsoku/>
        <w:wordWrap/>
        <w:overflowPunct/>
        <w:topLinePunct w:val="0"/>
        <w:bidi w:val="0"/>
        <w:snapToGrid/>
        <w:spacing w:line="440" w:lineRule="exact"/>
        <w:ind w:firstLine="42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注：</w:t>
      </w:r>
      <w:r>
        <w:rPr>
          <w:rFonts w:hint="eastAsia" w:ascii="宋体" w:hAnsi="宋体" w:eastAsia="宋体" w:cs="宋体"/>
          <w:sz w:val="18"/>
          <w:szCs w:val="18"/>
        </w:rPr>
        <w:t>表中因变量皆为企业借款增长率</w:t>
      </w:r>
      <m:oMath>
        <m:r>
          <m:rPr>
            <m:sty m:val="p"/>
          </m:rPr>
          <w:rPr>
            <w:rFonts w:hint="default" w:ascii="Cambria Math" w:hAnsi="Cambria Math" w:eastAsia="宋体" w:cs="宋体"/>
            <w:sz w:val="18"/>
            <w:szCs w:val="18"/>
          </w:rPr>
          <m:t>Δ</m:t>
        </m:r>
        <m:r>
          <m:rPr/>
          <w:rPr>
            <w:rFonts w:hint="eastAsia" w:ascii="Cambria Math" w:hAnsi="Cambria Math" w:eastAsia="宋体" w:cs="宋体"/>
            <w:sz w:val="18"/>
            <w:szCs w:val="18"/>
          </w:rPr>
          <m:t>Loan</m:t>
        </m:r>
      </m:oMath>
      <w:r>
        <w:rPr>
          <w:rFonts w:hint="eastAsia" w:ascii="宋体" w:hAnsi="宋体" w:eastAsia="宋体" w:cs="宋体"/>
          <w:sz w:val="18"/>
          <w:szCs w:val="18"/>
        </w:rPr>
        <w:t>；括号内为标准误；***、**、*分别代表1%、5%、10%的显著性水平。</w:t>
      </w:r>
    </w:p>
    <w:p>
      <w:pPr>
        <w:keepNext w:val="0"/>
        <w:keepLines w:val="0"/>
        <w:pageBreakBefore w:val="0"/>
        <w:kinsoku/>
        <w:wordWrap/>
        <w:overflowPunct/>
        <w:topLinePunct w:val="0"/>
        <w:bidi w:val="0"/>
        <w:snapToGrid/>
        <w:spacing w:line="440" w:lineRule="exact"/>
        <w:ind w:firstLine="420"/>
        <w:textAlignment w:val="auto"/>
        <w:rPr>
          <w:rFonts w:hint="eastAsia" w:ascii="宋体" w:hAnsi="宋体" w:eastAsia="宋体" w:cs="宋体"/>
          <w:sz w:val="18"/>
          <w:szCs w:val="18"/>
        </w:rPr>
      </w:pPr>
    </w:p>
    <w:p>
      <w:pPr>
        <w:keepNext w:val="0"/>
        <w:keepLines w:val="0"/>
        <w:pageBreakBefore w:val="0"/>
        <w:kinsoku/>
        <w:wordWrap/>
        <w:overflowPunct/>
        <w:topLinePunct w:val="0"/>
        <w:bidi w:val="0"/>
        <w:snapToGrid/>
        <w:spacing w:line="440" w:lineRule="exact"/>
        <w:ind w:firstLine="420"/>
        <w:textAlignment w:val="auto"/>
        <w:rPr>
          <w:rFonts w:hint="eastAsia" w:ascii="宋体" w:hAnsi="宋体" w:eastAsia="宋体" w:cs="宋体"/>
          <w:sz w:val="18"/>
          <w:szCs w:val="18"/>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b/>
          <w:sz w:val="28"/>
          <w:szCs w:val="28"/>
          <w:lang w:val="en-US" w:eastAsia="zh-CN"/>
        </w:rPr>
      </w:pPr>
    </w:p>
    <w:p>
      <w:pPr>
        <w:keepNext w:val="0"/>
        <w:keepLines w:val="0"/>
        <w:pageBreakBefore w:val="0"/>
        <w:kinsoku/>
        <w:wordWrap/>
        <w:overflowPunct/>
        <w:topLinePunct w:val="0"/>
        <w:bidi w:val="0"/>
        <w:snapToGrid/>
        <w:spacing w:before="156" w:beforeLines="50" w:line="440" w:lineRule="exact"/>
        <w:ind w:firstLine="420"/>
        <w:jc w:val="center"/>
        <w:textAlignment w:val="auto"/>
        <w:rPr>
          <w:rFonts w:hint="eastAsia" w:ascii="楷体" w:hAnsi="楷体" w:eastAsia="楷体" w:cs="楷体"/>
          <w:sz w:val="28"/>
          <w:szCs w:val="28"/>
        </w:rPr>
      </w:pPr>
      <w:r>
        <w:rPr>
          <w:rFonts w:hint="eastAsia" w:ascii="楷体" w:hAnsi="楷体" w:eastAsia="楷体" w:cs="楷体"/>
          <w:b/>
          <w:sz w:val="28"/>
          <w:szCs w:val="28"/>
          <w:lang w:val="en-US" w:eastAsia="zh-CN"/>
        </w:rPr>
        <w:t xml:space="preserve">附录Ⅱ </w:t>
      </w:r>
      <w:r>
        <w:rPr>
          <w:rFonts w:hint="eastAsia" w:ascii="楷体" w:hAnsi="楷体" w:eastAsia="楷体" w:cs="楷体"/>
          <w:sz w:val="28"/>
          <w:szCs w:val="28"/>
        </w:rPr>
        <w:t>对研究结论的进一步检验</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 w:val="21"/>
          <w:szCs w:val="21"/>
        </w:rPr>
      </w:pPr>
      <w:r>
        <w:rPr>
          <w:rFonts w:hint="eastAsia" w:ascii="仿宋" w:hAnsi="仿宋" w:eastAsia="仿宋" w:cs="仿宋"/>
          <w:sz w:val="21"/>
          <w:szCs w:val="21"/>
        </w:rPr>
        <w:t>2013年中国国家发展和改革委员会发布了《国家发展改革委办公厅关于进一步改进企业债券发行审核工作的通知》，对于募集资金用于高污染、高耗能领域的发债申请，要求从严审核。由于企业的融资渠道之间具有一定的替代性，该政策可能通过影响企业的债券融资对企业借款增长率产生间接影响。因此，我们进一步将2011年之后的样本剔除以重新检验。我们的检验结果如表</w:t>
      </w:r>
      <w:r>
        <w:rPr>
          <w:rFonts w:hint="eastAsia" w:ascii="仿宋" w:hAnsi="仿宋" w:eastAsia="仿宋" w:cs="仿宋"/>
          <w:b/>
          <w:sz w:val="21"/>
          <w:szCs w:val="21"/>
          <w:lang w:val="en-US" w:eastAsia="zh-CN"/>
        </w:rPr>
        <w:t>Ⅱ1</w:t>
      </w:r>
      <w:r>
        <w:rPr>
          <w:rFonts w:hint="eastAsia" w:ascii="仿宋" w:hAnsi="仿宋" w:eastAsia="仿宋" w:cs="仿宋"/>
          <w:b/>
          <w:bCs/>
          <w:sz w:val="21"/>
          <w:szCs w:val="21"/>
        </w:rPr>
        <w:t xml:space="preserve"> </w:t>
      </w:r>
      <w:r>
        <w:rPr>
          <w:rFonts w:hint="eastAsia" w:ascii="仿宋" w:hAnsi="仿宋" w:eastAsia="仿宋" w:cs="仿宋"/>
          <w:sz w:val="21"/>
          <w:szCs w:val="21"/>
        </w:rPr>
        <w:t>第（1）-（3）列所示，表</w:t>
      </w:r>
      <w:r>
        <w:rPr>
          <w:rFonts w:hint="eastAsia" w:ascii="仿宋" w:hAnsi="仿宋" w:eastAsia="仿宋" w:cs="仿宋"/>
          <w:b/>
          <w:sz w:val="21"/>
          <w:szCs w:val="21"/>
          <w:lang w:val="en-US" w:eastAsia="zh-CN"/>
        </w:rPr>
        <w:t>Ⅱ1</w:t>
      </w:r>
      <w:r>
        <w:rPr>
          <w:rFonts w:hint="eastAsia" w:ascii="仿宋" w:hAnsi="仿宋" w:eastAsia="仿宋" w:cs="仿宋"/>
          <w:b/>
          <w:bCs/>
          <w:sz w:val="21"/>
          <w:szCs w:val="21"/>
        </w:rPr>
        <w:t xml:space="preserve"> </w:t>
      </w:r>
      <w:r>
        <w:rPr>
          <w:rFonts w:hint="eastAsia" w:ascii="仿宋" w:hAnsi="仿宋" w:eastAsia="仿宋" w:cs="仿宋"/>
          <w:sz w:val="21"/>
          <w:szCs w:val="21"/>
        </w:rPr>
        <w:t>中因变量皆为企业借款增长率</w:t>
      </w:r>
      <m:oMath>
        <m:r>
          <m:rPr>
            <m:sty m:val="p"/>
          </m:rPr>
          <w:rPr>
            <w:rFonts w:hint="eastAsia" w:ascii="Cambria Math" w:hAnsi="Cambria Math" w:eastAsia="仿宋" w:cs="仿宋"/>
            <w:sz w:val="21"/>
            <w:szCs w:val="21"/>
          </w:rPr>
          <m:t>Δ</m:t>
        </m:r>
        <m:r>
          <m:rPr/>
          <w:rPr>
            <w:rFonts w:hint="eastAsia" w:ascii="Cambria Math" w:hAnsi="Cambria Math" w:eastAsia="仿宋" w:cs="仿宋"/>
            <w:sz w:val="21"/>
            <w:szCs w:val="21"/>
          </w:rPr>
          <m:t>Loan</m:t>
        </m:r>
      </m:oMath>
      <w:r>
        <w:rPr>
          <w:rFonts w:hint="eastAsia" w:ascii="仿宋" w:hAnsi="仿宋" w:eastAsia="仿宋" w:cs="仿宋"/>
          <w:sz w:val="21"/>
          <w:szCs w:val="21"/>
        </w:rPr>
        <w:t>。在剔除相关年份样本后，本文的研究结论依然成立。</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 w:val="21"/>
          <w:szCs w:val="21"/>
        </w:rPr>
      </w:pPr>
      <w:bookmarkStart w:id="1" w:name="_Hlk75251565"/>
      <w:r>
        <w:rPr>
          <w:rFonts w:hint="eastAsia" w:ascii="仿宋" w:hAnsi="仿宋" w:eastAsia="仿宋" w:cs="仿宋"/>
          <w:sz w:val="21"/>
          <w:szCs w:val="21"/>
        </w:rPr>
        <w:t>最后，绿色信贷政策不仅可以通过控制信贷配给来影响“两高”企业的银行借款，还能够通过提高企业的贷款成本来降低企业的贷款需求，从而对企业的借款增长产生影响。因此，“两高”企业总体借款增长的降低可能并不来源于信贷配给的降低。为了对此进行检验，我们参考李广子和刘力（2009）的研究，以利息支出占总债务的比率</w:t>
      </w:r>
      <w:r>
        <w:rPr>
          <w:rFonts w:hint="eastAsia" w:ascii="仿宋" w:hAnsi="仿宋" w:eastAsia="仿宋" w:cs="仿宋"/>
          <w:i/>
          <w:iCs/>
          <w:sz w:val="21"/>
          <w:szCs w:val="21"/>
        </w:rPr>
        <w:t>Int_liab</w:t>
      </w:r>
      <w:r>
        <w:rPr>
          <w:rFonts w:hint="eastAsia" w:ascii="仿宋" w:hAnsi="仿宋" w:eastAsia="仿宋" w:cs="仿宋"/>
          <w:sz w:val="21"/>
          <w:szCs w:val="21"/>
        </w:rPr>
        <w:t>对企业的债务融资成本进行测度，并将变量</w:t>
      </w:r>
      <w:r>
        <w:rPr>
          <w:rFonts w:hint="eastAsia" w:ascii="仿宋" w:hAnsi="仿宋" w:eastAsia="仿宋" w:cs="仿宋"/>
          <w:i/>
          <w:iCs/>
          <w:sz w:val="21"/>
          <w:szCs w:val="21"/>
        </w:rPr>
        <w:t>Int_liab</w:t>
      </w:r>
      <w:r>
        <w:rPr>
          <w:rFonts w:hint="eastAsia" w:ascii="仿宋" w:hAnsi="仿宋" w:eastAsia="仿宋" w:cs="仿宋"/>
          <w:sz w:val="21"/>
          <w:szCs w:val="21"/>
        </w:rPr>
        <w:t>加入模型（1）中重新进行检验。检验结果如表</w:t>
      </w:r>
      <w:r>
        <w:rPr>
          <w:rFonts w:hint="eastAsia" w:ascii="仿宋" w:hAnsi="仿宋" w:eastAsia="仿宋" w:cs="仿宋"/>
          <w:b/>
          <w:sz w:val="21"/>
          <w:szCs w:val="21"/>
          <w:lang w:val="en-US" w:eastAsia="zh-CN"/>
        </w:rPr>
        <w:t>Ⅱ1</w:t>
      </w:r>
      <w:r>
        <w:rPr>
          <w:rFonts w:hint="eastAsia" w:ascii="仿宋" w:hAnsi="仿宋" w:eastAsia="仿宋" w:cs="仿宋"/>
          <w:b/>
          <w:bCs/>
          <w:sz w:val="21"/>
          <w:szCs w:val="21"/>
        </w:rPr>
        <w:t xml:space="preserve"> </w:t>
      </w:r>
      <w:r>
        <w:rPr>
          <w:rFonts w:hint="eastAsia" w:ascii="仿宋" w:hAnsi="仿宋" w:eastAsia="仿宋" w:cs="仿宋"/>
          <w:sz w:val="21"/>
          <w:szCs w:val="21"/>
        </w:rPr>
        <w:t>第（4）-（6）列所示，在控制了企业债务融资成本后，本文的研究结论依然成立。这一结果表明绿色信贷政策确实抑制了“两高”行业总体的信贷配给，并通过控制信贷配给对“两高”企业的债务融资产生影响。</w:t>
      </w:r>
      <w:bookmarkEnd w:id="1"/>
    </w:p>
    <w:p>
      <w:pPr>
        <w:keepNext w:val="0"/>
        <w:keepLines w:val="0"/>
        <w:pageBreakBefore w:val="0"/>
        <w:kinsoku/>
        <w:wordWrap/>
        <w:overflowPunct/>
        <w:topLinePunct w:val="0"/>
        <w:bidi w:val="0"/>
        <w:snapToGrid/>
        <w:spacing w:line="440" w:lineRule="exact"/>
        <w:ind w:firstLine="420"/>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sz w:val="20"/>
          <w:szCs w:val="20"/>
          <w:lang w:val="en-US" w:eastAsia="zh-CN"/>
        </w:rPr>
        <w:t>Ⅱ1</w:t>
      </w:r>
      <w:r>
        <w:rPr>
          <w:rFonts w:hint="eastAsia" w:ascii="宋体" w:hAnsi="宋体" w:eastAsia="宋体" w:cs="宋体"/>
          <w:b/>
          <w:bCs/>
          <w:sz w:val="20"/>
          <w:szCs w:val="20"/>
        </w:rPr>
        <w:t xml:space="preserve">  对研究结论的进一步检验</w:t>
      </w:r>
    </w:p>
    <w:tbl>
      <w:tblPr>
        <w:tblStyle w:val="5"/>
        <w:tblW w:w="7461" w:type="dxa"/>
        <w:jc w:val="center"/>
        <w:tblLayout w:type="fixed"/>
        <w:tblCellMar>
          <w:top w:w="0" w:type="dxa"/>
          <w:left w:w="108" w:type="dxa"/>
          <w:bottom w:w="0" w:type="dxa"/>
          <w:right w:w="108" w:type="dxa"/>
        </w:tblCellMar>
      </w:tblPr>
      <w:tblGrid>
        <w:gridCol w:w="1615"/>
        <w:gridCol w:w="972"/>
        <w:gridCol w:w="972"/>
        <w:gridCol w:w="979"/>
        <w:gridCol w:w="972"/>
        <w:gridCol w:w="972"/>
        <w:gridCol w:w="979"/>
      </w:tblGrid>
      <w:tr>
        <w:tblPrEx>
          <w:tblCellMar>
            <w:top w:w="0" w:type="dxa"/>
            <w:left w:w="108" w:type="dxa"/>
            <w:bottom w:w="0" w:type="dxa"/>
            <w:right w:w="108" w:type="dxa"/>
          </w:tblCellMar>
        </w:tblPrEx>
        <w:trPr>
          <w:trHeight w:val="253" w:hRule="atLeast"/>
          <w:jc w:val="center"/>
        </w:trPr>
        <w:tc>
          <w:tcPr>
            <w:tcW w:w="1615" w:type="dxa"/>
            <w:vMerge w:val="restart"/>
            <w:tcBorders>
              <w:top w:val="double" w:color="auto" w:sz="4" w:space="0"/>
              <w:left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变量</w:t>
            </w:r>
          </w:p>
        </w:tc>
        <w:tc>
          <w:tcPr>
            <w:tcW w:w="2923" w:type="dxa"/>
            <w:gridSpan w:val="3"/>
            <w:tcBorders>
              <w:top w:val="double" w:color="auto" w:sz="4" w:space="0"/>
              <w:left w:val="nil"/>
              <w:bottom w:val="single" w:color="auto" w:sz="4" w:space="0"/>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剔除2008-2010，2012-2014年样本</w:t>
            </w:r>
          </w:p>
        </w:tc>
        <w:tc>
          <w:tcPr>
            <w:tcW w:w="2923" w:type="dxa"/>
            <w:gridSpan w:val="3"/>
            <w:tcBorders>
              <w:top w:val="double" w:color="auto" w:sz="4" w:space="0"/>
              <w:left w:val="single" w:color="FFFFFF" w:themeColor="background1" w:sz="36" w:space="0"/>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控制债务融资成本</w:t>
            </w:r>
          </w:p>
        </w:tc>
      </w:tr>
      <w:tr>
        <w:tblPrEx>
          <w:tblCellMar>
            <w:top w:w="0" w:type="dxa"/>
            <w:left w:w="108" w:type="dxa"/>
            <w:bottom w:w="0" w:type="dxa"/>
            <w:right w:w="108" w:type="dxa"/>
          </w:tblCellMar>
        </w:tblPrEx>
        <w:trPr>
          <w:trHeight w:val="253" w:hRule="atLeast"/>
          <w:jc w:val="center"/>
        </w:trPr>
        <w:tc>
          <w:tcPr>
            <w:tcW w:w="1615" w:type="dxa"/>
            <w:vMerge w:val="continue"/>
            <w:tcBorders>
              <w:left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p>
        </w:tc>
        <w:tc>
          <w:tcPr>
            <w:tcW w:w="972"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全样本</w:t>
            </w:r>
          </w:p>
        </w:tc>
        <w:tc>
          <w:tcPr>
            <w:tcW w:w="972"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国企</w:t>
            </w:r>
          </w:p>
        </w:tc>
        <w:tc>
          <w:tcPr>
            <w:tcW w:w="978" w:type="dxa"/>
            <w:tcBorders>
              <w:top w:val="single" w:color="auto" w:sz="4" w:space="0"/>
              <w:left w:val="nil"/>
              <w:bottom w:val="single" w:color="auto" w:sz="4" w:space="0"/>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民企</w:t>
            </w:r>
          </w:p>
        </w:tc>
        <w:tc>
          <w:tcPr>
            <w:tcW w:w="972" w:type="dxa"/>
            <w:tcBorders>
              <w:top w:val="single" w:color="auto" w:sz="4" w:space="0"/>
              <w:left w:val="single" w:color="FFFFFF" w:themeColor="background1" w:sz="36" w:space="0"/>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全样本</w:t>
            </w:r>
          </w:p>
        </w:tc>
        <w:tc>
          <w:tcPr>
            <w:tcW w:w="972"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国企</w:t>
            </w:r>
          </w:p>
        </w:tc>
        <w:tc>
          <w:tcPr>
            <w:tcW w:w="978"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民企</w:t>
            </w:r>
          </w:p>
        </w:tc>
      </w:tr>
      <w:tr>
        <w:tblPrEx>
          <w:tblCellMar>
            <w:top w:w="0" w:type="dxa"/>
            <w:left w:w="108" w:type="dxa"/>
            <w:bottom w:w="0" w:type="dxa"/>
            <w:right w:w="108" w:type="dxa"/>
          </w:tblCellMar>
        </w:tblPrEx>
        <w:trPr>
          <w:trHeight w:val="253" w:hRule="atLeast"/>
          <w:jc w:val="center"/>
        </w:trPr>
        <w:tc>
          <w:tcPr>
            <w:tcW w:w="1615" w:type="dxa"/>
            <w:vMerge w:val="continue"/>
            <w:tcBorders>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978" w:type="dxa"/>
            <w:tcBorders>
              <w:top w:val="single" w:color="auto" w:sz="4" w:space="0"/>
              <w:left w:val="nil"/>
              <w:bottom w:val="nil"/>
              <w:right w:val="single" w:color="FFFFFF" w:themeColor="background1" w:sz="36" w:space="0"/>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972" w:type="dxa"/>
            <w:tcBorders>
              <w:top w:val="single" w:color="auto" w:sz="4" w:space="0"/>
              <w:left w:val="single" w:color="FFFFFF" w:themeColor="background1" w:sz="36" w:space="0"/>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972"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978"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w:t>
            </w:r>
          </w:p>
        </w:tc>
      </w:tr>
      <w:tr>
        <w:tblPrEx>
          <w:tblCellMar>
            <w:top w:w="0" w:type="dxa"/>
            <w:left w:w="108" w:type="dxa"/>
            <w:bottom w:w="0" w:type="dxa"/>
            <w:right w:w="108" w:type="dxa"/>
          </w:tblCellMar>
        </w:tblPrEx>
        <w:trPr>
          <w:trHeight w:val="264" w:hRule="atLeast"/>
          <w:jc w:val="center"/>
        </w:trPr>
        <w:tc>
          <w:tcPr>
            <w:tcW w:w="1615"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iCs/>
                <w:kern w:val="0"/>
                <w:sz w:val="18"/>
                <w:szCs w:val="18"/>
              </w:rPr>
            </w:pPr>
            <w:r>
              <w:rPr>
                <w:rFonts w:hint="eastAsia" w:ascii="仿宋" w:hAnsi="仿宋" w:eastAsia="仿宋" w:cs="仿宋"/>
                <w:i/>
                <w:iCs/>
                <w:kern w:val="0"/>
                <w:sz w:val="18"/>
                <w:szCs w:val="18"/>
              </w:rPr>
              <w:t>Post×Treat</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-0.272</w:t>
            </w:r>
            <w:r>
              <w:rPr>
                <w:rFonts w:hint="eastAsia" w:ascii="仿宋" w:hAnsi="仿宋" w:eastAsia="仿宋" w:cs="仿宋"/>
                <w:kern w:val="0"/>
                <w:sz w:val="18"/>
                <w:szCs w:val="18"/>
                <w:vertAlign w:val="superscript"/>
              </w:rPr>
              <w:t>**</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-0.334</w:t>
            </w:r>
            <w:r>
              <w:rPr>
                <w:rFonts w:hint="eastAsia" w:ascii="仿宋" w:hAnsi="仿宋" w:eastAsia="仿宋" w:cs="仿宋"/>
                <w:kern w:val="0"/>
                <w:sz w:val="18"/>
                <w:szCs w:val="18"/>
                <w:vertAlign w:val="superscript"/>
              </w:rPr>
              <w:t>**</w:t>
            </w:r>
          </w:p>
        </w:tc>
        <w:tc>
          <w:tcPr>
            <w:tcW w:w="978"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-0.145</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-0.135</w:t>
            </w:r>
            <w:r>
              <w:rPr>
                <w:rFonts w:hint="eastAsia" w:ascii="仿宋" w:hAnsi="仿宋" w:eastAsia="仿宋" w:cs="仿宋"/>
                <w:kern w:val="0"/>
                <w:sz w:val="18"/>
                <w:szCs w:val="18"/>
                <w:vertAlign w:val="superscript"/>
              </w:rPr>
              <w:t>*</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-0.211</w:t>
            </w:r>
            <w:r>
              <w:rPr>
                <w:rFonts w:hint="eastAsia" w:ascii="仿宋" w:hAnsi="仿宋" w:eastAsia="仿宋" w:cs="仿宋"/>
                <w:kern w:val="0"/>
                <w:sz w:val="18"/>
                <w:szCs w:val="18"/>
                <w:vertAlign w:val="superscript"/>
              </w:rPr>
              <w:t>**</w:t>
            </w:r>
          </w:p>
        </w:tc>
        <w:tc>
          <w:tcPr>
            <w:tcW w:w="978"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0.073</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iCs/>
                <w:kern w:val="0"/>
                <w:sz w:val="18"/>
                <w:szCs w:val="18"/>
              </w:rPr>
            </w:pP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(0.137)</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(0.161)</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(0.117)</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(0.073)</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(0.094)</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(0.080)</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iCs/>
                <w:kern w:val="0"/>
                <w:sz w:val="18"/>
                <w:szCs w:val="18"/>
              </w:rPr>
            </w:pPr>
            <w:r>
              <w:rPr>
                <w:rFonts w:hint="eastAsia" w:ascii="仿宋" w:hAnsi="仿宋" w:eastAsia="仿宋" w:cs="仿宋"/>
                <w:i/>
                <w:iCs/>
                <w:kern w:val="0"/>
                <w:sz w:val="18"/>
                <w:szCs w:val="18"/>
              </w:rPr>
              <w:t>Int_liab</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No</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No</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No</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iCs/>
                <w:kern w:val="0"/>
                <w:sz w:val="18"/>
                <w:szCs w:val="18"/>
              </w:rPr>
            </w:pPr>
            <w:r>
              <w:rPr>
                <w:rFonts w:hint="eastAsia" w:ascii="仿宋" w:hAnsi="仿宋" w:eastAsia="仿宋" w:cs="仿宋"/>
                <w:i/>
                <w:iCs/>
                <w:kern w:val="0"/>
                <w:sz w:val="18"/>
                <w:szCs w:val="18"/>
              </w:rPr>
              <w:t>Icg</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iCs/>
                <w:kern w:val="0"/>
                <w:sz w:val="18"/>
                <w:szCs w:val="18"/>
              </w:rPr>
            </w:pPr>
            <w:r>
              <w:rPr>
                <w:rFonts w:hint="eastAsia" w:ascii="仿宋" w:hAnsi="仿宋" w:eastAsia="仿宋" w:cs="仿宋"/>
                <w:i/>
                <w:iCs/>
                <w:kern w:val="0"/>
                <w:sz w:val="18"/>
                <w:szCs w:val="18"/>
              </w:rPr>
              <w:t>Control</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4" w:hRule="atLeast"/>
          <w:jc w:val="center"/>
        </w:trPr>
        <w:tc>
          <w:tcPr>
            <w:tcW w:w="1615"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个体固定效应</w:t>
            </w:r>
          </w:p>
        </w:tc>
        <w:tc>
          <w:tcPr>
            <w:tcW w:w="97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978"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264" w:hRule="atLeast"/>
          <w:jc w:val="center"/>
        </w:trPr>
        <w:tc>
          <w:tcPr>
            <w:tcW w:w="1615"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i/>
                <w:iCs/>
                <w:kern w:val="0"/>
                <w:sz w:val="18"/>
                <w:szCs w:val="18"/>
              </w:rPr>
              <w:t>N</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5401</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3223</w:t>
            </w:r>
          </w:p>
        </w:tc>
        <w:tc>
          <w:tcPr>
            <w:tcW w:w="978"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2178</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14461</w:t>
            </w:r>
          </w:p>
        </w:tc>
        <w:tc>
          <w:tcPr>
            <w:tcW w:w="972"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7823</w:t>
            </w:r>
          </w:p>
        </w:tc>
        <w:tc>
          <w:tcPr>
            <w:tcW w:w="978" w:type="dxa"/>
            <w:tcBorders>
              <w:top w:val="single" w:color="auto" w:sz="4" w:space="0"/>
              <w:left w:val="nil"/>
              <w:bottom w:val="nil"/>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6638</w:t>
            </w:r>
          </w:p>
        </w:tc>
      </w:tr>
      <w:tr>
        <w:tblPrEx>
          <w:tblCellMar>
            <w:top w:w="0" w:type="dxa"/>
            <w:left w:w="108" w:type="dxa"/>
            <w:bottom w:w="0" w:type="dxa"/>
            <w:right w:w="108" w:type="dxa"/>
          </w:tblCellMar>
        </w:tblPrEx>
        <w:trPr>
          <w:trHeight w:val="253" w:hRule="atLeast"/>
          <w:jc w:val="center"/>
        </w:trPr>
        <w:tc>
          <w:tcPr>
            <w:tcW w:w="1615"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97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0.293</w:t>
            </w:r>
          </w:p>
        </w:tc>
        <w:tc>
          <w:tcPr>
            <w:tcW w:w="97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0.281</w:t>
            </w:r>
          </w:p>
        </w:tc>
        <w:tc>
          <w:tcPr>
            <w:tcW w:w="978"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0.333</w:t>
            </w:r>
          </w:p>
        </w:tc>
        <w:tc>
          <w:tcPr>
            <w:tcW w:w="97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0.231</w:t>
            </w:r>
          </w:p>
        </w:tc>
        <w:tc>
          <w:tcPr>
            <w:tcW w:w="972"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0.202</w:t>
            </w:r>
          </w:p>
        </w:tc>
        <w:tc>
          <w:tcPr>
            <w:tcW w:w="978" w:type="dxa"/>
            <w:tcBorders>
              <w:top w:val="nil"/>
              <w:left w:val="nil"/>
              <w:bottom w:val="doub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0.278</w:t>
            </w:r>
          </w:p>
        </w:tc>
      </w:tr>
    </w:tbl>
    <w:p>
      <w:pPr>
        <w:keepNext w:val="0"/>
        <w:keepLines w:val="0"/>
        <w:pageBreakBefore w:val="0"/>
        <w:kinsoku/>
        <w:wordWrap/>
        <w:overflowPunct/>
        <w:topLinePunct w:val="0"/>
        <w:bidi w:val="0"/>
        <w:snapToGrid/>
        <w:spacing w:line="440" w:lineRule="exact"/>
        <w:ind w:firstLine="360" w:firstLineChars="200"/>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注：</w:t>
      </w:r>
      <w:r>
        <w:rPr>
          <w:rFonts w:hint="eastAsia" w:ascii="仿宋" w:hAnsi="仿宋" w:eastAsia="仿宋" w:cs="仿宋"/>
          <w:sz w:val="18"/>
          <w:szCs w:val="18"/>
        </w:rPr>
        <w:t>表中因变量皆为企业借款增长率</w:t>
      </w:r>
      <m:oMath>
        <m:r>
          <m:rPr>
            <m:sty m:val="p"/>
          </m:rPr>
          <w:rPr>
            <w:rFonts w:hint="default" w:ascii="Cambria Math" w:hAnsi="Cambria Math" w:eastAsia="仿宋" w:cs="仿宋"/>
            <w:sz w:val="18"/>
            <w:szCs w:val="18"/>
          </w:rPr>
          <m:t>Δ</m:t>
        </m:r>
        <m:r>
          <m:rPr/>
          <w:rPr>
            <w:rFonts w:hint="eastAsia" w:ascii="Cambria Math" w:hAnsi="Cambria Math" w:eastAsia="仿宋" w:cs="仿宋"/>
            <w:sz w:val="18"/>
            <w:szCs w:val="18"/>
          </w:rPr>
          <m:t>Loan</m:t>
        </m:r>
      </m:oMath>
      <w:r>
        <w:rPr>
          <w:rFonts w:hint="eastAsia" w:ascii="仿宋" w:hAnsi="仿宋" w:eastAsia="仿宋" w:cs="仿宋"/>
          <w:sz w:val="18"/>
          <w:szCs w:val="18"/>
        </w:rPr>
        <w:t>；括号内为标准误；***、**、*分别代表1%、5%、10%的显著性水平。</w:t>
      </w:r>
    </w:p>
    <w:p>
      <w:pPr>
        <w:keepNext w:val="0"/>
        <w:keepLines w:val="0"/>
        <w:pageBreakBefore w:val="0"/>
        <w:kinsoku/>
        <w:wordWrap/>
        <w:overflowPunct/>
        <w:topLinePunct w:val="0"/>
        <w:bidi w:val="0"/>
        <w:snapToGrid/>
        <w:spacing w:line="440" w:lineRule="exact"/>
        <w:ind w:firstLine="360" w:firstLineChars="200"/>
        <w:textAlignment w:val="auto"/>
        <w:rPr>
          <w:rFonts w:hint="eastAsia" w:ascii="仿宋" w:hAnsi="仿宋" w:eastAsia="仿宋" w:cs="仿宋"/>
          <w:sz w:val="18"/>
          <w:szCs w:val="18"/>
        </w:rPr>
      </w:pPr>
    </w:p>
    <w:p>
      <w:pPr>
        <w:keepNext w:val="0"/>
        <w:keepLines w:val="0"/>
        <w:pageBreakBefore w:val="0"/>
        <w:kinsoku/>
        <w:wordWrap/>
        <w:overflowPunct/>
        <w:topLinePunct w:val="0"/>
        <w:bidi w:val="0"/>
        <w:snapToGrid/>
        <w:spacing w:before="156" w:beforeLines="50" w:line="440" w:lineRule="exact"/>
        <w:ind w:firstLine="280" w:firstLineChars="100"/>
        <w:jc w:val="center"/>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 xml:space="preserve">附录Ⅲ </w:t>
      </w:r>
      <w:r>
        <w:rPr>
          <w:rFonts w:hint="eastAsia" w:ascii="楷体" w:hAnsi="楷体" w:eastAsia="楷体" w:cs="楷体"/>
          <w:sz w:val="28"/>
          <w:szCs w:val="28"/>
        </w:rPr>
        <w:t>国有和民营企业的环境绩效差异检验</w:t>
      </w:r>
    </w:p>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z w:val="21"/>
          <w:szCs w:val="21"/>
        </w:rPr>
        <w:t>我们也搜集整理了1998-2013年中国工业企业的污染排放数据，并与工业企业数据库进行匹配。对于国有和民营企业的环境绩效差异，我们能够基于工业企业的污染排放数据提供更为有力的经验证据。在数据处理过程中，由于工业企业数据库2010年数据质量问题，我们剔除了2010年的数据，因此样本涵盖1998-2009年和2011-2013年。同时，我们对连续变量在1%和99%水平进行了缩尾处理。针对不同污染物排放，国有企业和民营企业的环境绩效差异如表</w:t>
      </w:r>
      <w:r>
        <w:rPr>
          <w:rFonts w:hint="eastAsia" w:ascii="仿宋" w:hAnsi="仿宋" w:eastAsia="仿宋" w:cs="仿宋"/>
          <w:sz w:val="21"/>
          <w:szCs w:val="21"/>
          <w:lang w:val="en-US" w:eastAsia="zh-CN"/>
        </w:rPr>
        <w:t>Ⅲ1</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表Ⅲ2</w:t>
      </w:r>
      <w:r>
        <w:rPr>
          <w:rFonts w:hint="eastAsia" w:ascii="仿宋" w:hAnsi="仿宋" w:eastAsia="仿宋" w:cs="仿宋"/>
          <w:sz w:val="21"/>
          <w:szCs w:val="21"/>
        </w:rPr>
        <w:t>所示，我们发现无论是SO2排放和废气排放，还是COD排放和废水排放，国有企业环境绩效都要显著低于民营企业。我国工业企业污染排放数据检验结果进一步支持我们的结论。</w:t>
      </w:r>
    </w:p>
    <w:p>
      <w:pPr>
        <w:pStyle w:val="7"/>
        <w:keepNext w:val="0"/>
        <w:keepLines w:val="0"/>
        <w:pageBreakBefore w:val="0"/>
        <w:kinsoku/>
        <w:wordWrap/>
        <w:overflowPunct/>
        <w:topLinePunct w:val="0"/>
        <w:bidi w:val="0"/>
        <w:snapToGrid/>
        <w:spacing w:before="156" w:beforeLines="50" w:line="4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Ⅲ1</w:t>
      </w:r>
      <w:r>
        <w:rPr>
          <w:rFonts w:hint="eastAsia" w:ascii="宋体" w:hAnsi="宋体" w:eastAsia="宋体" w:cs="宋体"/>
          <w:b/>
          <w:bCs/>
          <w:sz w:val="20"/>
          <w:szCs w:val="20"/>
        </w:rPr>
        <w:t xml:space="preserve">  国有和民营企业SO</w:t>
      </w:r>
      <w:r>
        <w:rPr>
          <w:rFonts w:hint="eastAsia" w:ascii="宋体" w:hAnsi="宋体" w:eastAsia="宋体" w:cs="宋体"/>
          <w:b/>
          <w:bCs/>
          <w:sz w:val="20"/>
          <w:szCs w:val="20"/>
          <w:vertAlign w:val="subscript"/>
        </w:rPr>
        <w:t>2</w:t>
      </w:r>
      <w:r>
        <w:rPr>
          <w:rFonts w:hint="eastAsia" w:ascii="宋体" w:hAnsi="宋体" w:eastAsia="宋体" w:cs="宋体"/>
          <w:b/>
          <w:bCs/>
          <w:sz w:val="20"/>
          <w:szCs w:val="20"/>
        </w:rPr>
        <w:t>排放及废气排放差异</w:t>
      </w:r>
    </w:p>
    <w:tbl>
      <w:tblPr>
        <w:tblStyle w:val="5"/>
        <w:tblW w:w="8282" w:type="dxa"/>
        <w:jc w:val="center"/>
        <w:tblLayout w:type="fixed"/>
        <w:tblCellMar>
          <w:top w:w="0" w:type="dxa"/>
          <w:left w:w="108" w:type="dxa"/>
          <w:bottom w:w="0" w:type="dxa"/>
          <w:right w:w="108" w:type="dxa"/>
        </w:tblCellMar>
      </w:tblPr>
      <w:tblGrid>
        <w:gridCol w:w="1362"/>
        <w:gridCol w:w="864"/>
        <w:gridCol w:w="866"/>
        <w:gridCol w:w="864"/>
        <w:gridCol w:w="866"/>
        <w:gridCol w:w="864"/>
        <w:gridCol w:w="866"/>
        <w:gridCol w:w="864"/>
        <w:gridCol w:w="866"/>
      </w:tblGrid>
      <w:tr>
        <w:tblPrEx>
          <w:tblCellMar>
            <w:top w:w="0" w:type="dxa"/>
            <w:left w:w="108" w:type="dxa"/>
            <w:bottom w:w="0" w:type="dxa"/>
            <w:right w:w="108" w:type="dxa"/>
          </w:tblCellMar>
        </w:tblPrEx>
        <w:trPr>
          <w:trHeight w:val="300" w:hRule="atLeast"/>
          <w:jc w:val="center"/>
        </w:trPr>
        <w:tc>
          <w:tcPr>
            <w:tcW w:w="1362" w:type="dxa"/>
            <w:vMerge w:val="restart"/>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变量</w:t>
            </w:r>
          </w:p>
        </w:tc>
        <w:tc>
          <w:tcPr>
            <w:tcW w:w="1730" w:type="dxa"/>
            <w:gridSpan w:val="2"/>
            <w:tcBorders>
              <w:top w:val="single" w:color="auto" w:sz="4" w:space="0"/>
              <w:left w:val="nil"/>
              <w:bottom w:val="single" w:color="000000" w:sz="4" w:space="0"/>
              <w:right w:val="single" w:color="FFFFFF" w:themeColor="background1" w:sz="2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SO</w:t>
            </w:r>
            <w:r>
              <w:rPr>
                <w:rFonts w:hint="eastAsia" w:ascii="仿宋" w:hAnsi="仿宋" w:eastAsia="仿宋" w:cs="仿宋"/>
                <w:sz w:val="18"/>
                <w:szCs w:val="18"/>
                <w:vertAlign w:val="subscript"/>
              </w:rPr>
              <w:t>2</w:t>
            </w:r>
            <w:r>
              <w:rPr>
                <w:rFonts w:hint="eastAsia" w:ascii="仿宋" w:hAnsi="仿宋" w:eastAsia="仿宋" w:cs="仿宋"/>
                <w:sz w:val="18"/>
                <w:szCs w:val="18"/>
              </w:rPr>
              <w:t>排放量</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（对数值）</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SO</w:t>
            </w:r>
            <w:r>
              <w:rPr>
                <w:rFonts w:hint="eastAsia" w:ascii="仿宋" w:hAnsi="仿宋" w:eastAsia="仿宋" w:cs="仿宋"/>
                <w:sz w:val="18"/>
                <w:szCs w:val="18"/>
                <w:vertAlign w:val="subscript"/>
              </w:rPr>
              <w:t>2</w:t>
            </w:r>
            <w:r>
              <w:rPr>
                <w:rFonts w:hint="eastAsia" w:ascii="仿宋" w:hAnsi="仿宋" w:eastAsia="仿宋" w:cs="仿宋"/>
                <w:sz w:val="18"/>
                <w:szCs w:val="18"/>
              </w:rPr>
              <w:t>排放量</w:t>
            </w:r>
            <w:r>
              <w:rPr>
                <w:rFonts w:hint="eastAsia" w:ascii="仿宋" w:hAnsi="仿宋" w:eastAsia="仿宋" w:cs="仿宋"/>
                <w:b/>
                <w:sz w:val="18"/>
                <w:szCs w:val="18"/>
              </w:rPr>
              <w:t>/</w:t>
            </w:r>
            <w:r>
              <w:rPr>
                <w:rFonts w:hint="eastAsia" w:ascii="仿宋" w:hAnsi="仿宋" w:eastAsia="仿宋" w:cs="仿宋"/>
                <w:sz w:val="18"/>
                <w:szCs w:val="18"/>
              </w:rPr>
              <w:t>产出</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废气排放量</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（对数值）</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废气排放量</w:t>
            </w:r>
            <w:r>
              <w:rPr>
                <w:rFonts w:hint="eastAsia" w:ascii="仿宋" w:hAnsi="仿宋" w:eastAsia="仿宋" w:cs="仿宋"/>
                <w:b/>
                <w:sz w:val="18"/>
                <w:szCs w:val="18"/>
              </w:rPr>
              <w:t>/</w:t>
            </w:r>
            <w:r>
              <w:rPr>
                <w:rFonts w:hint="eastAsia" w:ascii="仿宋" w:hAnsi="仿宋" w:eastAsia="仿宋" w:cs="仿宋"/>
                <w:sz w:val="18"/>
                <w:szCs w:val="18"/>
              </w:rPr>
              <w:t>产出</w:t>
            </w:r>
          </w:p>
        </w:tc>
      </w:tr>
      <w:tr>
        <w:tblPrEx>
          <w:tblCellMar>
            <w:top w:w="0" w:type="dxa"/>
            <w:left w:w="108" w:type="dxa"/>
            <w:bottom w:w="0" w:type="dxa"/>
            <w:right w:w="108" w:type="dxa"/>
          </w:tblCellMar>
        </w:tblPrEx>
        <w:trPr>
          <w:trHeight w:val="167" w:hRule="atLeast"/>
          <w:jc w:val="center"/>
        </w:trPr>
        <w:tc>
          <w:tcPr>
            <w:tcW w:w="1362" w:type="dxa"/>
            <w:vMerge w:val="continue"/>
            <w:tcBorders>
              <w:top w:val="single" w:color="auto" w:sz="4" w:space="0"/>
              <w:left w:val="nil"/>
              <w:bottom w:val="nil"/>
              <w:right w:val="nil"/>
            </w:tcBorders>
            <w:vAlign w:val="center"/>
          </w:tcPr>
          <w:p>
            <w:pPr>
              <w:keepNext w:val="0"/>
              <w:keepLines w:val="0"/>
              <w:pageBreakBefore w:val="0"/>
              <w:widowControl/>
              <w:kinsoku/>
              <w:wordWrap/>
              <w:overflowPunct/>
              <w:topLinePunct w:val="0"/>
              <w:bidi w:val="0"/>
              <w:snapToGrid/>
              <w:spacing w:line="440" w:lineRule="exact"/>
              <w:jc w:val="left"/>
              <w:textAlignment w:val="auto"/>
              <w:rPr>
                <w:rFonts w:hint="eastAsia" w:ascii="仿宋" w:hAnsi="仿宋" w:eastAsia="仿宋" w:cs="仿宋"/>
                <w:sz w:val="18"/>
                <w:szCs w:val="18"/>
              </w:rPr>
            </w:pP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w:t>
            </w:r>
          </w:p>
        </w:tc>
        <w:tc>
          <w:tcPr>
            <w:tcW w:w="866" w:type="dxa"/>
            <w:tcBorders>
              <w:top w:val="single" w:color="000000" w:sz="4" w:space="0"/>
              <w:left w:val="nil"/>
              <w:bottom w:val="nil"/>
              <w:right w:val="single" w:color="FFFFFF" w:themeColor="background1" w:sz="2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(2)</w:t>
            </w:r>
          </w:p>
        </w:tc>
        <w:tc>
          <w:tcPr>
            <w:tcW w:w="864" w:type="dxa"/>
            <w:tcBorders>
              <w:top w:val="single" w:color="000000" w:sz="4" w:space="0"/>
              <w:left w:val="single" w:color="FFFFFF" w:themeColor="background1" w:sz="24" w:space="0"/>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w:t>
            </w: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(5)</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w:t>
            </w: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(7)</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(8)</w:t>
            </w:r>
          </w:p>
        </w:tc>
      </w:tr>
      <w:tr>
        <w:tblPrEx>
          <w:tblCellMar>
            <w:top w:w="0" w:type="dxa"/>
            <w:left w:w="108" w:type="dxa"/>
            <w:bottom w:w="0" w:type="dxa"/>
            <w:right w:w="108" w:type="dxa"/>
          </w:tblCellMar>
        </w:tblPrEx>
        <w:trPr>
          <w:trHeight w:val="316" w:hRule="atLeast"/>
          <w:jc w:val="center"/>
        </w:trPr>
        <w:tc>
          <w:tcPr>
            <w:tcW w:w="1362"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SOE</w:t>
            </w:r>
          </w:p>
        </w:tc>
        <w:tc>
          <w:tcPr>
            <w:tcW w:w="864"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0.650</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0.123</w:t>
            </w:r>
            <w:r>
              <w:rPr>
                <w:rFonts w:hint="eastAsia" w:ascii="仿宋" w:hAnsi="仿宋" w:eastAsia="仿宋" w:cs="仿宋"/>
                <w:sz w:val="18"/>
                <w:szCs w:val="18"/>
                <w:vertAlign w:val="superscript"/>
              </w:rPr>
              <w:t>***</w:t>
            </w:r>
          </w:p>
        </w:tc>
        <w:tc>
          <w:tcPr>
            <w:tcW w:w="864"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0.388</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0.387</w:t>
            </w:r>
            <w:r>
              <w:rPr>
                <w:rFonts w:hint="eastAsia" w:ascii="仿宋" w:hAnsi="仿宋" w:eastAsia="仿宋" w:cs="仿宋"/>
                <w:sz w:val="18"/>
                <w:szCs w:val="18"/>
                <w:vertAlign w:val="superscript"/>
              </w:rPr>
              <w:t>***</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0.675</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0.013</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0.066</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0.046</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(0.012)</w:t>
            </w: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(0.014)</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(0.019)</w:t>
            </w: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(0.022)</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(0.011)</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(0.012)</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Size</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0.480</w:t>
            </w:r>
            <w:r>
              <w:rPr>
                <w:rFonts w:hint="eastAsia" w:ascii="仿宋" w:hAnsi="仿宋" w:eastAsia="仿宋" w:cs="仿宋"/>
                <w:sz w:val="18"/>
                <w:szCs w:val="18"/>
                <w:vertAlign w:val="superscript"/>
              </w:rPr>
              <w: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-0.331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0.668</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-0.030</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(0.004)</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(0.005)</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(0.001)</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Fix_asset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0.967</w:t>
            </w:r>
            <w:r>
              <w:rPr>
                <w:rFonts w:hint="eastAsia" w:ascii="仿宋" w:hAnsi="仿宋" w:eastAsia="仿宋" w:cs="仿宋"/>
                <w:sz w:val="18"/>
                <w:szCs w:val="18"/>
                <w:vertAlign w:val="superscript"/>
              </w:rPr>
              <w: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1.395</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1.338</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0.360</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(0.024)</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(0.040)</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(0.024)</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(0.007)</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ROA</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0.172</w:t>
            </w:r>
            <w:r>
              <w:rPr>
                <w:rFonts w:hint="eastAsia" w:ascii="仿宋" w:hAnsi="仿宋" w:eastAsia="仿宋" w:cs="仿宋"/>
                <w:sz w:val="18"/>
                <w:szCs w:val="18"/>
                <w:vertAlign w:val="superscript"/>
              </w:rPr>
              <w: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-1.605</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0.136</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-0.387</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(0.027)</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(0.032)</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(0.030)</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(0.008)</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Growth</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-0.038</w:t>
            </w:r>
            <w:r>
              <w:rPr>
                <w:rFonts w:hint="eastAsia" w:ascii="仿宋" w:hAnsi="仿宋" w:eastAsia="仿宋" w:cs="仿宋"/>
                <w:sz w:val="18"/>
                <w:szCs w:val="18"/>
                <w:vertAlign w:val="superscript"/>
              </w:rPr>
              <w: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-0.270</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-0.042</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-0.042</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(0.006)</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(0.008)</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(0.006)</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(0.002)</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Lev</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0.548</w:t>
            </w:r>
            <w:r>
              <w:rPr>
                <w:rFonts w:hint="eastAsia" w:ascii="仿宋" w:hAnsi="仿宋" w:eastAsia="仿宋" w:cs="仿宋"/>
                <w:sz w:val="18"/>
                <w:szCs w:val="18"/>
                <w:vertAlign w:val="superscript"/>
              </w:rPr>
              <w:t>***</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0.665</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0.406</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0.094</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(0.018)</w:t>
            </w:r>
          </w:p>
        </w:tc>
        <w:tc>
          <w:tcPr>
            <w:tcW w:w="864"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(0.032)</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(0.017)</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(0.005)</w:t>
            </w:r>
          </w:p>
        </w:tc>
      </w:tr>
      <w:tr>
        <w:tblPrEx>
          <w:tblCellMar>
            <w:top w:w="0" w:type="dxa"/>
            <w:left w:w="108" w:type="dxa"/>
            <w:bottom w:w="0" w:type="dxa"/>
            <w:right w:w="108" w:type="dxa"/>
          </w:tblCellMar>
        </w:tblPrEx>
        <w:trPr>
          <w:trHeight w:val="300" w:hRule="atLeast"/>
          <w:jc w:val="center"/>
        </w:trPr>
        <w:tc>
          <w:tcPr>
            <w:tcW w:w="1362"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00" w:hRule="atLeast"/>
          <w:jc w:val="center"/>
        </w:trPr>
        <w:tc>
          <w:tcPr>
            <w:tcW w:w="1362"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16" w:hRule="atLeast"/>
          <w:jc w:val="center"/>
        </w:trPr>
        <w:tc>
          <w:tcPr>
            <w:tcW w:w="136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省份固定效应</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16" w:hRule="atLeast"/>
          <w:jc w:val="center"/>
        </w:trPr>
        <w:tc>
          <w:tcPr>
            <w:tcW w:w="1362"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i/>
                <w:iCs/>
                <w:sz w:val="18"/>
                <w:szCs w:val="18"/>
              </w:rPr>
              <w:t>N</w:t>
            </w:r>
          </w:p>
        </w:tc>
        <w:tc>
          <w:tcPr>
            <w:tcW w:w="864"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585056</w:t>
            </w:r>
          </w:p>
        </w:tc>
        <w:tc>
          <w:tcPr>
            <w:tcW w:w="866"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437112</w:t>
            </w:r>
          </w:p>
        </w:tc>
        <w:tc>
          <w:tcPr>
            <w:tcW w:w="864"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580842</w:t>
            </w:r>
          </w:p>
        </w:tc>
        <w:tc>
          <w:tcPr>
            <w:tcW w:w="866" w:type="dxa"/>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435964</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453823</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331722</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450079</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330795</w:t>
            </w:r>
          </w:p>
        </w:tc>
      </w:tr>
      <w:tr>
        <w:tblPrEx>
          <w:tblCellMar>
            <w:top w:w="0" w:type="dxa"/>
            <w:left w:w="108" w:type="dxa"/>
            <w:bottom w:w="0" w:type="dxa"/>
            <w:right w:w="108" w:type="dxa"/>
          </w:tblCellMar>
        </w:tblPrEx>
        <w:trPr>
          <w:trHeight w:val="316" w:hRule="atLeast"/>
          <w:jc w:val="center"/>
        </w:trPr>
        <w:tc>
          <w:tcPr>
            <w:tcW w:w="1362"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vertAlign w:val="superscript"/>
              </w:rPr>
              <w:t>2</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0.233</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0.271</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0.227</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0.248</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0.263</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0.354</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0.253</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0.287</w:t>
            </w:r>
          </w:p>
        </w:tc>
      </w:tr>
    </w:tbl>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注：</w:t>
      </w:r>
      <w:r>
        <w:rPr>
          <w:rFonts w:hint="eastAsia" w:ascii="仿宋" w:hAnsi="仿宋" w:eastAsia="仿宋" w:cs="仿宋"/>
          <w:sz w:val="18"/>
          <w:szCs w:val="18"/>
        </w:rPr>
        <w:t>系数值下方括号内为标准误；***、**、*分别代表1%、5%、10%的显著性水平。</w:t>
      </w:r>
    </w:p>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18"/>
          <w:szCs w:val="18"/>
        </w:rPr>
      </w:pPr>
    </w:p>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Ⅲ2</w:t>
      </w:r>
      <w:r>
        <w:rPr>
          <w:rFonts w:hint="eastAsia" w:ascii="宋体" w:hAnsi="宋体" w:eastAsia="宋体" w:cs="宋体"/>
          <w:b/>
          <w:bCs/>
          <w:sz w:val="20"/>
          <w:szCs w:val="20"/>
        </w:rPr>
        <w:t xml:space="preserve">  国有和民营企业COD排放及废水排放差异</w:t>
      </w:r>
    </w:p>
    <w:tbl>
      <w:tblPr>
        <w:tblStyle w:val="5"/>
        <w:tblW w:w="8282" w:type="dxa"/>
        <w:jc w:val="center"/>
        <w:tblLayout w:type="fixed"/>
        <w:tblCellMar>
          <w:top w:w="0" w:type="dxa"/>
          <w:left w:w="108" w:type="dxa"/>
          <w:bottom w:w="0" w:type="dxa"/>
          <w:right w:w="108" w:type="dxa"/>
        </w:tblCellMar>
      </w:tblPr>
      <w:tblGrid>
        <w:gridCol w:w="1362"/>
        <w:gridCol w:w="864"/>
        <w:gridCol w:w="866"/>
        <w:gridCol w:w="864"/>
        <w:gridCol w:w="866"/>
        <w:gridCol w:w="864"/>
        <w:gridCol w:w="866"/>
        <w:gridCol w:w="864"/>
        <w:gridCol w:w="866"/>
      </w:tblGrid>
      <w:tr>
        <w:tblPrEx>
          <w:tblCellMar>
            <w:top w:w="0" w:type="dxa"/>
            <w:left w:w="108" w:type="dxa"/>
            <w:bottom w:w="0" w:type="dxa"/>
            <w:right w:w="108" w:type="dxa"/>
          </w:tblCellMar>
        </w:tblPrEx>
        <w:trPr>
          <w:trHeight w:val="300" w:hRule="atLeast"/>
          <w:jc w:val="center"/>
        </w:trPr>
        <w:tc>
          <w:tcPr>
            <w:tcW w:w="1362" w:type="dxa"/>
            <w:vMerge w:val="restart"/>
            <w:tcBorders>
              <w:top w:val="single" w:color="auto" w:sz="4" w:space="0"/>
              <w:left w:val="nil"/>
              <w:bottom w:val="nil"/>
              <w:right w:val="nil"/>
            </w:tcBorders>
            <w:vAlign w:val="center"/>
          </w:tcPr>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rPr>
              <w:t>变量</w:t>
            </w:r>
          </w:p>
        </w:tc>
        <w:tc>
          <w:tcPr>
            <w:tcW w:w="1730" w:type="dxa"/>
            <w:gridSpan w:val="2"/>
            <w:tcBorders>
              <w:top w:val="single" w:color="auto" w:sz="4" w:space="0"/>
              <w:left w:val="nil"/>
              <w:bottom w:val="single" w:color="000000" w:sz="4" w:space="0"/>
              <w:right w:val="single" w:color="FFFFFF" w:themeColor="background1" w:sz="2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COD排放量</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（对数值）</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COD排放量</w:t>
            </w:r>
            <w:r>
              <w:rPr>
                <w:rFonts w:hint="eastAsia" w:ascii="仿宋" w:hAnsi="仿宋" w:eastAsia="仿宋" w:cs="仿宋"/>
                <w:b/>
                <w:sz w:val="18"/>
                <w:szCs w:val="18"/>
              </w:rPr>
              <w:t>/</w:t>
            </w:r>
            <w:r>
              <w:rPr>
                <w:rFonts w:hint="eastAsia" w:ascii="仿宋" w:hAnsi="仿宋" w:eastAsia="仿宋" w:cs="仿宋"/>
                <w:sz w:val="18"/>
                <w:szCs w:val="18"/>
              </w:rPr>
              <w:t>产出</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废水排放量</w:t>
            </w:r>
          </w:p>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（对数值）</w:t>
            </w:r>
          </w:p>
        </w:tc>
        <w:tc>
          <w:tcPr>
            <w:tcW w:w="1730" w:type="dxa"/>
            <w:gridSpan w:val="2"/>
            <w:tcBorders>
              <w:top w:val="single" w:color="auto" w:sz="4" w:space="0"/>
              <w:left w:val="single" w:color="FFFFFF" w:themeColor="background1" w:sz="24" w:space="0"/>
              <w:bottom w:val="single" w:color="000000" w:sz="4" w:space="0"/>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废水排放量</w:t>
            </w:r>
            <w:r>
              <w:rPr>
                <w:rFonts w:hint="eastAsia" w:ascii="仿宋" w:hAnsi="仿宋" w:eastAsia="仿宋" w:cs="仿宋"/>
                <w:b/>
                <w:sz w:val="18"/>
                <w:szCs w:val="18"/>
              </w:rPr>
              <w:t>/</w:t>
            </w:r>
            <w:r>
              <w:rPr>
                <w:rFonts w:hint="eastAsia" w:ascii="仿宋" w:hAnsi="仿宋" w:eastAsia="仿宋" w:cs="仿宋"/>
                <w:sz w:val="18"/>
                <w:szCs w:val="18"/>
              </w:rPr>
              <w:t>产出</w:t>
            </w:r>
          </w:p>
        </w:tc>
      </w:tr>
      <w:tr>
        <w:tblPrEx>
          <w:tblCellMar>
            <w:top w:w="0" w:type="dxa"/>
            <w:left w:w="108" w:type="dxa"/>
            <w:bottom w:w="0" w:type="dxa"/>
            <w:right w:w="108" w:type="dxa"/>
          </w:tblCellMar>
        </w:tblPrEx>
        <w:trPr>
          <w:trHeight w:val="167" w:hRule="atLeast"/>
          <w:jc w:val="center"/>
        </w:trPr>
        <w:tc>
          <w:tcPr>
            <w:tcW w:w="1362" w:type="dxa"/>
            <w:vMerge w:val="continue"/>
            <w:tcBorders>
              <w:top w:val="single" w:color="auto" w:sz="4" w:space="0"/>
              <w:left w:val="nil"/>
              <w:bottom w:val="nil"/>
              <w:right w:val="nil"/>
            </w:tcBorders>
            <w:vAlign w:val="center"/>
          </w:tcPr>
          <w:p>
            <w:pPr>
              <w:keepNext w:val="0"/>
              <w:keepLines w:val="0"/>
              <w:pageBreakBefore w:val="0"/>
              <w:widowControl/>
              <w:kinsoku/>
              <w:wordWrap/>
              <w:overflowPunct/>
              <w:topLinePunct w:val="0"/>
              <w:bidi w:val="0"/>
              <w:snapToGrid/>
              <w:spacing w:line="440" w:lineRule="exact"/>
              <w:jc w:val="left"/>
              <w:textAlignment w:val="auto"/>
              <w:rPr>
                <w:rFonts w:hint="eastAsia" w:ascii="仿宋" w:hAnsi="仿宋" w:eastAsia="仿宋" w:cs="仿宋"/>
                <w:sz w:val="18"/>
                <w:szCs w:val="18"/>
              </w:rPr>
            </w:pP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w:t>
            </w:r>
          </w:p>
        </w:tc>
        <w:tc>
          <w:tcPr>
            <w:tcW w:w="866" w:type="dxa"/>
            <w:tcBorders>
              <w:top w:val="single" w:color="000000" w:sz="4" w:space="0"/>
              <w:left w:val="nil"/>
              <w:bottom w:val="nil"/>
              <w:right w:val="single" w:color="FFFFFF" w:themeColor="background1" w:sz="2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(2)</w:t>
            </w:r>
          </w:p>
        </w:tc>
        <w:tc>
          <w:tcPr>
            <w:tcW w:w="864" w:type="dxa"/>
            <w:tcBorders>
              <w:top w:val="single" w:color="000000" w:sz="4" w:space="0"/>
              <w:left w:val="single" w:color="FFFFFF" w:themeColor="background1" w:sz="24" w:space="0"/>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w:t>
            </w: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(5)</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w:t>
            </w:r>
          </w:p>
        </w:tc>
        <w:tc>
          <w:tcPr>
            <w:tcW w:w="864"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(7)</w:t>
            </w:r>
          </w:p>
        </w:tc>
        <w:tc>
          <w:tcPr>
            <w:tcW w:w="866" w:type="dxa"/>
            <w:tcBorders>
              <w:top w:val="single" w:color="000000" w:sz="4" w:space="0"/>
              <w:left w:val="nil"/>
              <w:bottom w:val="nil"/>
              <w:right w:val="nil"/>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(8)</w:t>
            </w:r>
          </w:p>
        </w:tc>
      </w:tr>
      <w:tr>
        <w:tblPrEx>
          <w:tblCellMar>
            <w:top w:w="0" w:type="dxa"/>
            <w:left w:w="108" w:type="dxa"/>
            <w:bottom w:w="0" w:type="dxa"/>
            <w:right w:w="108" w:type="dxa"/>
          </w:tblCellMar>
        </w:tblPrEx>
        <w:trPr>
          <w:trHeight w:val="316" w:hRule="atLeast"/>
          <w:jc w:val="center"/>
        </w:trPr>
        <w:tc>
          <w:tcPr>
            <w:tcW w:w="1362"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SOE</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1.101</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0.464</w:t>
            </w:r>
            <w:r>
              <w:rPr>
                <w:rFonts w:hint="eastAsia" w:ascii="仿宋" w:hAnsi="仿宋" w:eastAsia="仿宋" w:cs="仿宋"/>
                <w:sz w:val="18"/>
                <w:szCs w:val="18"/>
                <w:vertAlign w:val="superscript"/>
              </w:rPr>
              <w:t>***</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0.227</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0.172</w:t>
            </w:r>
            <w:r>
              <w:rPr>
                <w:rFonts w:hint="eastAsia" w:ascii="仿宋" w:hAnsi="仿宋" w:eastAsia="仿宋" w:cs="仿宋"/>
                <w:sz w:val="18"/>
                <w:szCs w:val="18"/>
                <w:vertAlign w:val="superscript"/>
              </w:rPr>
              <w:t>***</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1.304</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0.625</w:t>
            </w:r>
            <w:r>
              <w:rPr>
                <w:rFonts w:hint="eastAsia" w:ascii="仿宋" w:hAnsi="仿宋" w:eastAsia="仿宋" w:cs="仿宋"/>
                <w:sz w:val="18"/>
                <w:szCs w:val="18"/>
                <w:vertAlign w:val="superscript"/>
              </w:rPr>
              <w:t>***</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1.608</w:t>
            </w:r>
            <w:r>
              <w:rPr>
                <w:rFonts w:hint="eastAsia" w:ascii="仿宋" w:hAnsi="仿宋" w:eastAsia="仿宋" w:cs="仿宋"/>
                <w:sz w:val="18"/>
                <w:szCs w:val="18"/>
                <w:vertAlign w:val="superscript"/>
              </w:rPr>
              <w:t>***</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1.372</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(0.012)</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(0.012)</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(0.012)</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(0.035)</w:t>
            </w: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(0.039)</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Size</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0.691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-0.091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0.706</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-0.463</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(0.003)</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(0.010)</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Fix_asset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0.757</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0.651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0.824</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2.889</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(0.024)</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(0.024)</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(0.025)</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(0.071)</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ROA</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0.508</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-0.781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0.189</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-3.614</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(0.027)</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(0.021)</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(0.028)</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(0.061)</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i/>
                <w:iCs/>
                <w:sz w:val="18"/>
                <w:szCs w:val="18"/>
              </w:rPr>
            </w:pPr>
            <w:r>
              <w:rPr>
                <w:rFonts w:hint="eastAsia" w:ascii="仿宋" w:hAnsi="仿宋" w:eastAsia="仿宋" w:cs="仿宋"/>
                <w:i/>
                <w:iCs/>
                <w:sz w:val="18"/>
                <w:szCs w:val="18"/>
              </w:rPr>
              <w:t>Growth</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-0.032</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-0.091</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-0.064</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-0.480</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16"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(0.006)</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(0.006)</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(0.006)</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(0.016)</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i/>
                <w:iCs/>
                <w:sz w:val="18"/>
                <w:szCs w:val="18"/>
              </w:rPr>
              <w:t>Lev</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0.175</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0.340</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0.186</w:t>
            </w:r>
            <w:r>
              <w:rPr>
                <w:rFonts w:hint="eastAsia" w:ascii="仿宋" w:hAnsi="仿宋" w:eastAsia="仿宋" w:cs="仿宋"/>
                <w:sz w:val="18"/>
                <w:szCs w:val="18"/>
                <w:vertAlign w:val="superscript"/>
              </w:rPr>
              <w:t>***</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1.244</w:t>
            </w:r>
            <w:r>
              <w:rPr>
                <w:rFonts w:hint="eastAsia" w:ascii="仿宋" w:hAnsi="仿宋" w:eastAsia="仿宋" w:cs="仿宋"/>
                <w:sz w:val="18"/>
                <w:szCs w:val="18"/>
                <w:vertAlign w:val="superscript"/>
              </w:rPr>
              <w:t>***</w:t>
            </w:r>
          </w:p>
        </w:tc>
      </w:tr>
      <w:tr>
        <w:tblPrEx>
          <w:tblCellMar>
            <w:top w:w="0" w:type="dxa"/>
            <w:left w:w="108" w:type="dxa"/>
            <w:bottom w:w="0" w:type="dxa"/>
            <w:right w:w="108" w:type="dxa"/>
          </w:tblCellMar>
        </w:tblPrEx>
        <w:trPr>
          <w:trHeight w:val="300" w:hRule="atLeast"/>
          <w:jc w:val="center"/>
        </w:trPr>
        <w:tc>
          <w:tcPr>
            <w:tcW w:w="1362" w:type="dxa"/>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(0.018)</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(0.019)</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(0.018)</w:t>
            </w:r>
          </w:p>
        </w:tc>
        <w:tc>
          <w:tcPr>
            <w:tcW w:w="864"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p>
        </w:tc>
        <w:tc>
          <w:tcPr>
            <w:tcW w:w="866" w:type="dxa"/>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(0.057)</w:t>
            </w:r>
          </w:p>
        </w:tc>
      </w:tr>
      <w:tr>
        <w:tblPrEx>
          <w:tblCellMar>
            <w:top w:w="0" w:type="dxa"/>
            <w:left w:w="108" w:type="dxa"/>
            <w:bottom w:w="0" w:type="dxa"/>
            <w:right w:w="108" w:type="dxa"/>
          </w:tblCellMar>
        </w:tblPrEx>
        <w:trPr>
          <w:trHeight w:val="300" w:hRule="atLeast"/>
          <w:jc w:val="center"/>
        </w:trPr>
        <w:tc>
          <w:tcPr>
            <w:tcW w:w="1362"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00" w:hRule="atLeast"/>
          <w:jc w:val="center"/>
        </w:trPr>
        <w:tc>
          <w:tcPr>
            <w:tcW w:w="1362"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16" w:hRule="atLeast"/>
          <w:jc w:val="center"/>
        </w:trPr>
        <w:tc>
          <w:tcPr>
            <w:tcW w:w="1362"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kern w:val="0"/>
                <w:sz w:val="18"/>
                <w:szCs w:val="18"/>
              </w:rPr>
            </w:pPr>
            <w:r>
              <w:rPr>
                <w:rFonts w:hint="eastAsia" w:ascii="仿宋" w:hAnsi="仿宋" w:eastAsia="仿宋" w:cs="仿宋"/>
                <w:kern w:val="0"/>
                <w:sz w:val="18"/>
                <w:szCs w:val="18"/>
              </w:rPr>
              <w:t>省份固定效应</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4"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c>
          <w:tcPr>
            <w:tcW w:w="866" w:type="dxa"/>
            <w:tcBorders>
              <w:top w:val="nil"/>
              <w:left w:val="nil"/>
              <w:bottom w:val="single" w:color="auto" w:sz="4" w:space="0"/>
              <w:right w:val="nil"/>
            </w:tcBorders>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kern w:val="0"/>
                <w:sz w:val="18"/>
                <w:szCs w:val="18"/>
              </w:rPr>
            </w:pPr>
            <w:r>
              <w:rPr>
                <w:rFonts w:hint="eastAsia" w:ascii="仿宋" w:hAnsi="仿宋" w:eastAsia="仿宋" w:cs="仿宋"/>
                <w:kern w:val="0"/>
                <w:sz w:val="18"/>
                <w:szCs w:val="18"/>
              </w:rPr>
              <w:t>Yes</w:t>
            </w:r>
          </w:p>
        </w:tc>
      </w:tr>
      <w:tr>
        <w:tblPrEx>
          <w:tblCellMar>
            <w:top w:w="0" w:type="dxa"/>
            <w:left w:w="108" w:type="dxa"/>
            <w:bottom w:w="0" w:type="dxa"/>
            <w:right w:w="108" w:type="dxa"/>
          </w:tblCellMar>
        </w:tblPrEx>
        <w:trPr>
          <w:trHeight w:val="316" w:hRule="atLeast"/>
          <w:jc w:val="center"/>
        </w:trPr>
        <w:tc>
          <w:tcPr>
            <w:tcW w:w="1362"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i/>
                <w:iCs/>
                <w:sz w:val="18"/>
                <w:szCs w:val="18"/>
              </w:rPr>
              <w:t>N</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615460</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460152</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611192</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459007</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625087</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467145</w:t>
            </w:r>
          </w:p>
        </w:tc>
        <w:tc>
          <w:tcPr>
            <w:tcW w:w="864"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620799</w:t>
            </w:r>
          </w:p>
        </w:tc>
        <w:tc>
          <w:tcPr>
            <w:tcW w:w="866" w:type="dxa"/>
            <w:tcBorders>
              <w:top w:val="single" w:color="auto" w:sz="4" w:space="0"/>
              <w:left w:val="nil"/>
              <w:bottom w:val="nil"/>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465994</w:t>
            </w:r>
          </w:p>
        </w:tc>
      </w:tr>
      <w:tr>
        <w:tblPrEx>
          <w:tblCellMar>
            <w:top w:w="0" w:type="dxa"/>
            <w:left w:w="108" w:type="dxa"/>
            <w:bottom w:w="0" w:type="dxa"/>
            <w:right w:w="108" w:type="dxa"/>
          </w:tblCellMar>
        </w:tblPrEx>
        <w:trPr>
          <w:trHeight w:val="316" w:hRule="atLeast"/>
          <w:jc w:val="center"/>
        </w:trPr>
        <w:tc>
          <w:tcPr>
            <w:tcW w:w="1362"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vertAlign w:val="superscript"/>
              </w:rPr>
              <w:t>2</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0.245</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0.311</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0.146</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0.154</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0.178</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0.255</w:t>
            </w:r>
          </w:p>
        </w:tc>
        <w:tc>
          <w:tcPr>
            <w:tcW w:w="864"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0.166</w:t>
            </w:r>
          </w:p>
        </w:tc>
        <w:tc>
          <w:tcPr>
            <w:tcW w:w="866" w:type="dxa"/>
            <w:tcBorders>
              <w:top w:val="nil"/>
              <w:left w:val="nil"/>
              <w:bottom w:val="single" w:color="auto" w:sz="4" w:space="0"/>
              <w:right w:val="nil"/>
            </w:tcBorders>
          </w:tcPr>
          <w:p>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0.187</w:t>
            </w:r>
          </w:p>
        </w:tc>
      </w:tr>
    </w:tbl>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注：</w:t>
      </w:r>
      <w:r>
        <w:rPr>
          <w:rFonts w:hint="eastAsia" w:ascii="仿宋" w:hAnsi="仿宋" w:eastAsia="仿宋" w:cs="仿宋"/>
          <w:sz w:val="18"/>
          <w:szCs w:val="18"/>
        </w:rPr>
        <w:t>系数值下方括号内为标准误；***、**、*分别代表1%、5%、10%的显著性水平。</w:t>
      </w:r>
    </w:p>
    <w:p>
      <w:pPr>
        <w:keepNext w:val="0"/>
        <w:keepLines w:val="0"/>
        <w:pageBreakBefore w:val="0"/>
        <w:kinsoku/>
        <w:wordWrap/>
        <w:overflowPunct/>
        <w:topLinePunct w:val="0"/>
        <w:bidi w:val="0"/>
        <w:snapToGrid/>
        <w:spacing w:line="440" w:lineRule="exact"/>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left="-2" w:leftChars="-1" w:firstLine="0"/>
        <w:textAlignment w:val="auto"/>
        <w:rPr>
          <w:rFonts w:hint="eastAsia" w:ascii="仿宋" w:hAnsi="仿宋" w:eastAsia="仿宋" w:cs="仿宋"/>
          <w:sz w:val="21"/>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2023年</w:t>
    </w:r>
    <w:bookmarkStart w:id="2" w:name="_GoBack"/>
    <w:bookmarkEnd w:id="2"/>
    <w:r>
      <w:rPr>
        <w:rFonts w:hint="eastAsia"/>
        <w:lang w:val="en-US" w:eastAsia="zh-CN"/>
      </w:rPr>
      <w:t>第6期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F06BD6"/>
    <w:rsid w:val="000603FC"/>
    <w:rsid w:val="0014786E"/>
    <w:rsid w:val="00272DA3"/>
    <w:rsid w:val="002A1B04"/>
    <w:rsid w:val="003E20C1"/>
    <w:rsid w:val="00514063"/>
    <w:rsid w:val="007D33DB"/>
    <w:rsid w:val="00824711"/>
    <w:rsid w:val="00A0221F"/>
    <w:rsid w:val="00C204D2"/>
    <w:rsid w:val="00CD7755"/>
    <w:rsid w:val="00D14066"/>
    <w:rsid w:val="00D545B6"/>
    <w:rsid w:val="00EF550C"/>
    <w:rsid w:val="00F06BD6"/>
    <w:rsid w:val="00F251B4"/>
    <w:rsid w:val="00F75812"/>
    <w:rsid w:val="02025DEC"/>
    <w:rsid w:val="020E7E2D"/>
    <w:rsid w:val="02B458C1"/>
    <w:rsid w:val="07841A50"/>
    <w:rsid w:val="0B8B5DC2"/>
    <w:rsid w:val="0D843EF5"/>
    <w:rsid w:val="0E4F1A2E"/>
    <w:rsid w:val="0F1D1E40"/>
    <w:rsid w:val="13CA0FF8"/>
    <w:rsid w:val="21DA5CE4"/>
    <w:rsid w:val="27191C8E"/>
    <w:rsid w:val="29985F0A"/>
    <w:rsid w:val="3B6B7611"/>
    <w:rsid w:val="3EC55271"/>
    <w:rsid w:val="43782D44"/>
    <w:rsid w:val="45F12D3D"/>
    <w:rsid w:val="471C5C4A"/>
    <w:rsid w:val="4C7D5CAE"/>
    <w:rsid w:val="522D00B8"/>
    <w:rsid w:val="5959734E"/>
    <w:rsid w:val="5D576714"/>
    <w:rsid w:val="67694A84"/>
    <w:rsid w:val="69777616"/>
    <w:rsid w:val="6A132A85"/>
    <w:rsid w:val="6CB7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customStyle="1" w:styleId="7">
    <w:name w:val="表标题格式"/>
    <w:basedOn w:val="1"/>
    <w:qFormat/>
    <w:uiPriority w:val="0"/>
    <w:pPr>
      <w:tabs>
        <w:tab w:val="left" w:pos="420"/>
        <w:tab w:val="center" w:pos="4200"/>
      </w:tabs>
      <w:ind w:firstLine="420"/>
    </w:pPr>
    <w:rPr>
      <w:rFonts w:ascii="Times New Roman" w:hAnsi="Times New Roman" w:eastAsia="仿宋_GB2312" w:cs="Times New Roman"/>
      <w:szCs w:val="21"/>
    </w:rPr>
  </w:style>
  <w:style w:type="paragraph" w:customStyle="1" w:styleId="8">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684</Words>
  <Characters>3902</Characters>
  <Lines>32</Lines>
  <Paragraphs>9</Paragraphs>
  <TotalTime>1</TotalTime>
  <ScaleCrop>false</ScaleCrop>
  <LinksUpToDate>false</LinksUpToDate>
  <CharactersWithSpaces>4577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2023-05-09T09:27:00Z</dcterms:created>
  <dc:creator>Microsoft 帐户</dc:creator>
  <cp:lastModifiedBy>刘京</cp:lastModifiedBy>
  <dcterms:modified xsi:type="dcterms:W3CDTF">2023-11-17T09:46:07Z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AF8EA80F3AD34B449C06B4B8705DD1B1_12</vt:lpwstr>
  </property>
</Properties>
</file>