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数字普惠金融下的小微信贷与风险</w:t>
      </w:r>
    </w:p>
    <w:p>
      <w:pPr>
        <w:pStyle w:val="2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——基于银行数字化转型的视角</w:t>
      </w:r>
    </w:p>
    <w:p>
      <w:pPr>
        <w:pStyle w:val="55"/>
      </w:pPr>
    </w:p>
    <w:p>
      <w:pPr>
        <w:pStyle w:val="55"/>
      </w:pPr>
      <w:r>
        <w:t>赵家琪 江弘毅 胡诗云 沈艳</w:t>
      </w:r>
    </w:p>
    <w:p>
      <w:pPr>
        <w:widowControl/>
        <w:spacing w:line="240" w:lineRule="auto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widowControl/>
        <w:spacing w:line="240" w:lineRule="auto"/>
        <w:jc w:val="center"/>
        <w:rPr>
          <w:rFonts w:hint="default" w:ascii="仿宋" w:hAnsi="仿宋" w:eastAsia="宋体" w:cs="Times New Roman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br w:type="page"/>
      </w:r>
    </w:p>
    <w:p>
      <w:pPr>
        <w:pStyle w:val="47"/>
        <w:ind w:firstLine="422"/>
        <w:jc w:val="center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 录</w:t>
      </w:r>
    </w:p>
    <w:p>
      <w:pPr>
        <w:pStyle w:val="47"/>
        <w:ind w:firstLine="422"/>
        <w:jc w:val="center"/>
        <w:rPr>
          <w:rFonts w:hint="eastAsia" w:ascii="宋体" w:hAnsi="宋体" w:eastAsia="宋体" w:cs="宋体"/>
          <w:b/>
          <w:bCs w:val="0"/>
          <w:sz w:val="20"/>
          <w:szCs w:val="20"/>
        </w:rPr>
      </w:pPr>
      <w:r>
        <w:rPr>
          <w:rFonts w:hint="eastAsia" w:ascii="宋体" w:hAnsi="宋体" w:eastAsia="宋体" w:cs="宋体"/>
          <w:b/>
          <w:bCs w:val="0"/>
          <w:sz w:val="20"/>
          <w:szCs w:val="20"/>
        </w:rPr>
        <w:t>表A1 主要变量描述性统计</w:t>
      </w:r>
    </w:p>
    <w:tbl>
      <w:tblPr>
        <w:tblStyle w:val="1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057"/>
        <w:gridCol w:w="1191"/>
        <w:gridCol w:w="1191"/>
        <w:gridCol w:w="1191"/>
        <w:gridCol w:w="11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7" w:type="dxa"/>
            <w:tcBorders>
              <w:top w:val="doub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变量</w:t>
            </w:r>
          </w:p>
        </w:tc>
        <w:tc>
          <w:tcPr>
            <w:tcW w:w="1031" w:type="dxa"/>
            <w:tcBorders>
              <w:top w:val="doub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观测数</w:t>
            </w:r>
          </w:p>
        </w:tc>
        <w:tc>
          <w:tcPr>
            <w:tcW w:w="1162" w:type="dxa"/>
            <w:tcBorders>
              <w:top w:val="doub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均值</w:t>
            </w:r>
          </w:p>
        </w:tc>
        <w:tc>
          <w:tcPr>
            <w:tcW w:w="1162" w:type="dxa"/>
            <w:tcBorders>
              <w:top w:val="doub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标准差</w:t>
            </w:r>
          </w:p>
        </w:tc>
        <w:tc>
          <w:tcPr>
            <w:tcW w:w="1162" w:type="dxa"/>
            <w:tcBorders>
              <w:top w:val="doub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最小值</w:t>
            </w:r>
          </w:p>
        </w:tc>
        <w:tc>
          <w:tcPr>
            <w:tcW w:w="1162" w:type="dxa"/>
            <w:tcBorders>
              <w:top w:val="doub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最大值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小微贷款占比（%）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594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41.127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20.045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5.235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99.238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小微贷款市场份额（%）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594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0.833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2.023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0.009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17.018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不良贷款率（%）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594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1.367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0.824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0.03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7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成本效率指标</w:t>
            </w:r>
          </w:p>
        </w:tc>
        <w:tc>
          <w:tcPr>
            <w:tcW w:w="1031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366</w:t>
            </w: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0.813</w:t>
            </w: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0.09</w:t>
            </w: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0.58</w:t>
            </w: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客户贷款比重（1年内）（%）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337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66.485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20.163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1.734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数字化转型（总指数）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0.058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0.985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-1.398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2.949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数字化转型（认知）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0.031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1.003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-1.154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3.607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数字化转型（组织）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0.029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1.014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-0.975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2.942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数字化转型（产品）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0.05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0.994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-1.089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总资产（对数）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594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19.498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1.574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16.943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23.985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成本收入比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576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0.333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0.071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0.148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资本充足率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581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0.128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0.028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0.056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流动性比率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567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0.598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1.563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0.276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37.61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省份人均GDP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594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10.899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0.347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9.706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省份人均GDP增速（%）</w:t>
            </w:r>
          </w:p>
        </w:tc>
        <w:tc>
          <w:tcPr>
            <w:tcW w:w="1031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594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8.14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1.982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-2.5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7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城市普惠金融指数</w:t>
            </w:r>
          </w:p>
        </w:tc>
        <w:tc>
          <w:tcPr>
            <w:tcW w:w="1031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594</w:t>
            </w:r>
          </w:p>
        </w:tc>
        <w:tc>
          <w:tcPr>
            <w:tcW w:w="1162" w:type="dxa"/>
            <w:tcBorders>
              <w:top w:val="nil"/>
              <w:left w:val="nil"/>
              <w:bottom w:val="double" w:color="auto" w:sz="4" w:space="0"/>
              <w:right w:val="nil"/>
            </w:tcBorders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185.419</w:t>
            </w:r>
          </w:p>
        </w:tc>
        <w:tc>
          <w:tcPr>
            <w:tcW w:w="1162" w:type="dxa"/>
            <w:tcBorders>
              <w:top w:val="nil"/>
              <w:left w:val="nil"/>
              <w:bottom w:val="double" w:color="auto" w:sz="4" w:space="0"/>
              <w:right w:val="nil"/>
            </w:tcBorders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61.897</w:t>
            </w:r>
          </w:p>
        </w:tc>
        <w:tc>
          <w:tcPr>
            <w:tcW w:w="1162" w:type="dxa"/>
            <w:tcBorders>
              <w:top w:val="nil"/>
              <w:left w:val="nil"/>
              <w:bottom w:val="double" w:color="auto" w:sz="4" w:space="0"/>
              <w:right w:val="nil"/>
            </w:tcBorders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43.559</w:t>
            </w:r>
          </w:p>
        </w:tc>
        <w:tc>
          <w:tcPr>
            <w:tcW w:w="1162" w:type="dxa"/>
            <w:tcBorders>
              <w:top w:val="nil"/>
              <w:left w:val="nil"/>
              <w:bottom w:val="double" w:color="auto" w:sz="4" w:space="0"/>
              <w:right w:val="nil"/>
            </w:tcBorders>
          </w:tcPr>
          <w:p>
            <w:pPr>
              <w:pStyle w:val="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313.526</w:t>
            </w:r>
          </w:p>
        </w:tc>
      </w:tr>
    </w:tbl>
    <w:p>
      <w:pPr>
        <w:pStyle w:val="47"/>
        <w:ind w:firstLine="360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注：小微贷款占比：小微贷款余额占总贷款和垫款的比重。小微贷款市场份额：小微贷款余额占当年银行业全部小微贷款余额的比重。资产占行业比重：该银行总资产占样本所有银行总资产的比重，贷款和存款比重类似。客户贷款比重（1年内）：短期贷款（1年内客户贷款）余额占总贷款和垫款余额的比重。各类数字化转型指数均滞后一期并标准化。总资产、成本收入比、资本充足率、流动性比例数据来源于银行年报；各类存款、贷款比重数据来自Bankfocus数据库；人均GDP和GDP增速来自国家统计局。</w:t>
      </w:r>
    </w:p>
    <w:p>
      <w:pPr>
        <w:widowControl/>
        <w:spacing w:line="240" w:lineRule="auto"/>
        <w:jc w:val="left"/>
      </w:pPr>
      <w:r>
        <w:br w:type="page"/>
      </w:r>
    </w:p>
    <w:p>
      <w:pPr>
        <w:pStyle w:val="47"/>
        <w:ind w:firstLine="422"/>
        <w:jc w:val="center"/>
        <w:rPr>
          <w:rFonts w:ascii="黑体" w:hAnsi="黑体" w:eastAsia="黑体" w:cs="Times New Roman"/>
          <w:b/>
        </w:rPr>
      </w:pPr>
      <w:r>
        <w:rPr>
          <w:rFonts w:hint="eastAsia" w:ascii="宋体" w:hAnsi="宋体" w:eastAsia="宋体" w:cs="宋体"/>
          <w:b/>
          <w:bCs w:val="0"/>
          <w:sz w:val="20"/>
          <w:szCs w:val="20"/>
        </w:rPr>
        <w:t>表A2 地区异质性回归结果：仅保留城商行样本</w:t>
      </w:r>
    </w:p>
    <w:tbl>
      <w:tblPr>
        <w:tblStyle w:val="15"/>
        <w:tblW w:w="567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993"/>
        <w:gridCol w:w="865"/>
        <w:gridCol w:w="988"/>
        <w:gridCol w:w="1130"/>
        <w:gridCol w:w="273"/>
        <w:gridCol w:w="990"/>
        <w:gridCol w:w="992"/>
        <w:gridCol w:w="898"/>
        <w:gridCol w:w="1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401" w:type="dxa"/>
            <w:tcBorders>
              <w:top w:val="double" w:color="auto" w:sz="4" w:space="0"/>
              <w:left w:val="nil"/>
            </w:tcBorders>
            <w:shd w:val="clear" w:color="auto" w:fill="auto"/>
            <w:noWrap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因变量</w:t>
            </w:r>
          </w:p>
        </w:tc>
        <w:tc>
          <w:tcPr>
            <w:tcW w:w="968" w:type="dxa"/>
            <w:tcBorders>
              <w:top w:val="double" w:color="auto" w:sz="4" w:space="0"/>
            </w:tcBorders>
            <w:shd w:val="clear" w:color="auto" w:fill="auto"/>
            <w:noWrap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小微贷款</w:t>
            </w:r>
          </w:p>
        </w:tc>
        <w:tc>
          <w:tcPr>
            <w:tcW w:w="843" w:type="dxa"/>
            <w:tcBorders>
              <w:top w:val="double" w:color="auto" w:sz="4" w:space="0"/>
            </w:tcBorders>
            <w:shd w:val="clear" w:color="auto" w:fill="auto"/>
            <w:noWrap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小微贷款市场份额</w:t>
            </w:r>
          </w:p>
        </w:tc>
        <w:tc>
          <w:tcPr>
            <w:tcW w:w="963" w:type="dxa"/>
            <w:tcBorders>
              <w:top w:val="double" w:color="auto" w:sz="4" w:space="0"/>
            </w:tcBorders>
            <w:shd w:val="clear" w:color="auto" w:fill="auto"/>
            <w:noWrap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短期贷款(1年内)</w:t>
            </w:r>
          </w:p>
        </w:tc>
        <w:tc>
          <w:tcPr>
            <w:tcW w:w="1101" w:type="dxa"/>
            <w:tcBorders>
              <w:top w:val="double" w:color="auto" w:sz="4" w:space="0"/>
            </w:tcBorders>
            <w:shd w:val="clear" w:color="auto" w:fill="auto"/>
            <w:noWrap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不良贷款率</w:t>
            </w:r>
          </w:p>
        </w:tc>
        <w:tc>
          <w:tcPr>
            <w:tcW w:w="266" w:type="dxa"/>
            <w:tcBorders>
              <w:top w:val="double" w:color="auto" w:sz="4" w:space="0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color="auto" w:sz="4" w:space="0"/>
            </w:tcBorders>
            <w:shd w:val="clear" w:color="auto" w:fill="auto"/>
            <w:noWrap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小微贷款</w:t>
            </w:r>
          </w:p>
        </w:tc>
        <w:tc>
          <w:tcPr>
            <w:tcW w:w="967" w:type="dxa"/>
            <w:tcBorders>
              <w:top w:val="double" w:color="auto" w:sz="4" w:space="0"/>
            </w:tcBorders>
            <w:shd w:val="clear" w:color="auto" w:fill="auto"/>
            <w:noWrap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小微贷款市场份额</w:t>
            </w:r>
          </w:p>
        </w:tc>
        <w:tc>
          <w:tcPr>
            <w:tcW w:w="875" w:type="dxa"/>
            <w:tcBorders>
              <w:top w:val="double" w:color="auto" w:sz="4" w:space="0"/>
            </w:tcBorders>
            <w:shd w:val="clear" w:color="auto" w:fill="auto"/>
            <w:noWrap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短期贷款(1年内)</w:t>
            </w:r>
          </w:p>
        </w:tc>
        <w:tc>
          <w:tcPr>
            <w:tcW w:w="1063" w:type="dxa"/>
            <w:tcBorders>
              <w:top w:val="double" w:color="auto" w:sz="4" w:space="0"/>
              <w:right w:val="nil"/>
            </w:tcBorders>
            <w:shd w:val="clear" w:color="auto" w:fill="auto"/>
            <w:noWrap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不良贷款率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401" w:type="dxa"/>
            <w:tcBorders>
              <w:top w:val="nil"/>
              <w:bottom w:val="single" w:color="auto" w:sz="4" w:space="0"/>
              <w:right w:val="nil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(1)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(2)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(3)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(4)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(5)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(6)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(7)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(8)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401" w:type="dxa"/>
            <w:tcBorders>
              <w:top w:val="single" w:color="auto" w:sz="4" w:space="0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75" w:type="dxa"/>
            <w:gridSpan w:val="4"/>
            <w:tcBorders>
              <w:top w:val="single" w:color="auto" w:sz="4" w:space="0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A总指数</w:t>
            </w:r>
          </w:p>
        </w:tc>
        <w:tc>
          <w:tcPr>
            <w:tcW w:w="266" w:type="dxa"/>
            <w:tcBorders>
              <w:top w:val="single" w:color="auto" w:sz="4" w:space="0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70" w:type="dxa"/>
            <w:gridSpan w:val="4"/>
            <w:tcBorders>
              <w:top w:val="single" w:color="auto" w:sz="4" w:space="0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B广度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01" w:type="dxa"/>
            <w:vMerge w:val="restart"/>
            <w:tcBorders>
              <w:top w:val="single" w:color="auto" w:sz="4" w:space="0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数字化转型</w:t>
            </w:r>
          </w:p>
          <w:p>
            <w:pPr>
              <w:pStyle w:val="57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× </m:t>
              </m:r>
            </m:oMath>
            <w:r>
              <w:rPr>
                <w:rFonts w:cs="Times New Roman"/>
                <w:sz w:val="18"/>
                <w:szCs w:val="18"/>
              </w:rPr>
              <w:t>高普惠</w:t>
            </w:r>
          </w:p>
        </w:tc>
        <w:tc>
          <w:tcPr>
            <w:tcW w:w="968" w:type="dxa"/>
            <w:tcBorders>
              <w:top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2.25**</w:t>
            </w:r>
          </w:p>
        </w:tc>
        <w:tc>
          <w:tcPr>
            <w:tcW w:w="843" w:type="dxa"/>
            <w:tcBorders>
              <w:top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0.02***</w:t>
            </w:r>
          </w:p>
        </w:tc>
        <w:tc>
          <w:tcPr>
            <w:tcW w:w="963" w:type="dxa"/>
            <w:tcBorders>
              <w:top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10.04**</w:t>
            </w:r>
          </w:p>
        </w:tc>
        <w:tc>
          <w:tcPr>
            <w:tcW w:w="1101" w:type="dxa"/>
            <w:tcBorders>
              <w:top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-0.15*</w:t>
            </w:r>
          </w:p>
        </w:tc>
        <w:tc>
          <w:tcPr>
            <w:tcW w:w="266" w:type="dxa"/>
            <w:tcBorders>
              <w:top w:val="single" w:color="auto" w:sz="4" w:space="0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3.43***</w:t>
            </w:r>
          </w:p>
        </w:tc>
        <w:tc>
          <w:tcPr>
            <w:tcW w:w="967" w:type="dxa"/>
            <w:tcBorders>
              <w:top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0.02***</w:t>
            </w:r>
          </w:p>
        </w:tc>
        <w:tc>
          <w:tcPr>
            <w:tcW w:w="875" w:type="dxa"/>
            <w:tcBorders>
              <w:top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5.43</w:t>
            </w:r>
          </w:p>
        </w:tc>
        <w:tc>
          <w:tcPr>
            <w:tcW w:w="1063" w:type="dxa"/>
            <w:tcBorders>
              <w:top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-0.12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401" w:type="dxa"/>
            <w:vMerge w:val="continue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8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(2.11)</w:t>
            </w:r>
          </w:p>
        </w:tc>
        <w:tc>
          <w:tcPr>
            <w:tcW w:w="84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(2.94)</w:t>
            </w:r>
          </w:p>
        </w:tc>
        <w:tc>
          <w:tcPr>
            <w:tcW w:w="9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(2.41)</w:t>
            </w:r>
          </w:p>
        </w:tc>
        <w:tc>
          <w:tcPr>
            <w:tcW w:w="1101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(-1.70)</w:t>
            </w:r>
          </w:p>
        </w:tc>
        <w:tc>
          <w:tcPr>
            <w:tcW w:w="266" w:type="dxa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(2.63)</w:t>
            </w:r>
          </w:p>
        </w:tc>
        <w:tc>
          <w:tcPr>
            <w:tcW w:w="967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(3.33)</w:t>
            </w:r>
          </w:p>
        </w:tc>
        <w:tc>
          <w:tcPr>
            <w:tcW w:w="87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(1.09)</w:t>
            </w:r>
          </w:p>
        </w:tc>
        <w:tc>
          <w:tcPr>
            <w:tcW w:w="10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(-0.82)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01" w:type="dxa"/>
            <w:vMerge w:val="restart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数字化转型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× </m:t>
              </m:r>
            </m:oMath>
            <w:r>
              <w:rPr>
                <w:rFonts w:cs="Times New Roman"/>
                <w:sz w:val="18"/>
                <w:szCs w:val="18"/>
              </w:rPr>
              <w:t>高普惠</w:t>
            </w:r>
          </w:p>
        </w:tc>
        <w:tc>
          <w:tcPr>
            <w:tcW w:w="968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-1.65*</w:t>
            </w:r>
          </w:p>
        </w:tc>
        <w:tc>
          <w:tcPr>
            <w:tcW w:w="84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-0.01**</w:t>
            </w:r>
          </w:p>
        </w:tc>
        <w:tc>
          <w:tcPr>
            <w:tcW w:w="9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-3.95</w:t>
            </w:r>
          </w:p>
        </w:tc>
        <w:tc>
          <w:tcPr>
            <w:tcW w:w="1101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0.05</w:t>
            </w:r>
          </w:p>
        </w:tc>
        <w:tc>
          <w:tcPr>
            <w:tcW w:w="266" w:type="dxa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-0.67</w:t>
            </w:r>
          </w:p>
        </w:tc>
        <w:tc>
          <w:tcPr>
            <w:tcW w:w="967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-0.00</w:t>
            </w:r>
          </w:p>
        </w:tc>
        <w:tc>
          <w:tcPr>
            <w:tcW w:w="87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-0.30</w:t>
            </w:r>
          </w:p>
        </w:tc>
        <w:tc>
          <w:tcPr>
            <w:tcW w:w="10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0.21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401" w:type="dxa"/>
            <w:vMerge w:val="continue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8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(-1.93)</w:t>
            </w:r>
          </w:p>
        </w:tc>
        <w:tc>
          <w:tcPr>
            <w:tcW w:w="84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(-2.16)</w:t>
            </w:r>
          </w:p>
        </w:tc>
        <w:tc>
          <w:tcPr>
            <w:tcW w:w="9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(-1.56)</w:t>
            </w:r>
          </w:p>
        </w:tc>
        <w:tc>
          <w:tcPr>
            <w:tcW w:w="1101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(0.67)</w:t>
            </w:r>
          </w:p>
        </w:tc>
        <w:tc>
          <w:tcPr>
            <w:tcW w:w="266" w:type="dxa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(-0.64)</w:t>
            </w:r>
          </w:p>
        </w:tc>
        <w:tc>
          <w:tcPr>
            <w:tcW w:w="967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(-0.72)</w:t>
            </w:r>
          </w:p>
        </w:tc>
        <w:tc>
          <w:tcPr>
            <w:tcW w:w="87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(-0.12)</w:t>
            </w:r>
          </w:p>
        </w:tc>
        <w:tc>
          <w:tcPr>
            <w:tcW w:w="10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(1.16)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401" w:type="dxa"/>
            <w:vMerge w:val="restart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数字化转型</w:t>
            </w:r>
          </w:p>
        </w:tc>
        <w:tc>
          <w:tcPr>
            <w:tcW w:w="968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-0.89</w:t>
            </w:r>
          </w:p>
        </w:tc>
        <w:tc>
          <w:tcPr>
            <w:tcW w:w="84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-0.00</w:t>
            </w:r>
          </w:p>
        </w:tc>
        <w:tc>
          <w:tcPr>
            <w:tcW w:w="9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-7.08*</w:t>
            </w:r>
          </w:p>
        </w:tc>
        <w:tc>
          <w:tcPr>
            <w:tcW w:w="1101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0.23***</w:t>
            </w:r>
          </w:p>
        </w:tc>
        <w:tc>
          <w:tcPr>
            <w:tcW w:w="266" w:type="dxa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-2.30</w:t>
            </w:r>
          </w:p>
        </w:tc>
        <w:tc>
          <w:tcPr>
            <w:tcW w:w="967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-0.01</w:t>
            </w:r>
          </w:p>
        </w:tc>
        <w:tc>
          <w:tcPr>
            <w:tcW w:w="87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-4.53</w:t>
            </w:r>
          </w:p>
        </w:tc>
        <w:tc>
          <w:tcPr>
            <w:tcW w:w="10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0.22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401" w:type="dxa"/>
            <w:vMerge w:val="continue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8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(-0.74)</w:t>
            </w:r>
          </w:p>
        </w:tc>
        <w:tc>
          <w:tcPr>
            <w:tcW w:w="84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(-0.07)</w:t>
            </w:r>
          </w:p>
        </w:tc>
        <w:tc>
          <w:tcPr>
            <w:tcW w:w="9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(-1.68)</w:t>
            </w:r>
          </w:p>
        </w:tc>
        <w:tc>
          <w:tcPr>
            <w:tcW w:w="1101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(2.80)</w:t>
            </w:r>
          </w:p>
        </w:tc>
        <w:tc>
          <w:tcPr>
            <w:tcW w:w="266" w:type="dxa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(-1.56)</w:t>
            </w:r>
          </w:p>
        </w:tc>
        <w:tc>
          <w:tcPr>
            <w:tcW w:w="967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(-0.93)</w:t>
            </w:r>
          </w:p>
        </w:tc>
        <w:tc>
          <w:tcPr>
            <w:tcW w:w="87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(-0.95)</w:t>
            </w:r>
          </w:p>
        </w:tc>
        <w:tc>
          <w:tcPr>
            <w:tcW w:w="10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(1.55)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401" w:type="dxa"/>
            <w:vMerge w:val="restart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数字化转型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68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1.38*</w:t>
            </w:r>
          </w:p>
        </w:tc>
        <w:tc>
          <w:tcPr>
            <w:tcW w:w="84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0.01***</w:t>
            </w:r>
          </w:p>
        </w:tc>
        <w:tc>
          <w:tcPr>
            <w:tcW w:w="9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1.82</w:t>
            </w:r>
          </w:p>
        </w:tc>
        <w:tc>
          <w:tcPr>
            <w:tcW w:w="1101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-0.10</w:t>
            </w:r>
          </w:p>
        </w:tc>
        <w:tc>
          <w:tcPr>
            <w:tcW w:w="266" w:type="dxa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0.73</w:t>
            </w:r>
          </w:p>
        </w:tc>
        <w:tc>
          <w:tcPr>
            <w:tcW w:w="967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0.01</w:t>
            </w:r>
          </w:p>
        </w:tc>
        <w:tc>
          <w:tcPr>
            <w:tcW w:w="87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-0.95</w:t>
            </w:r>
          </w:p>
        </w:tc>
        <w:tc>
          <w:tcPr>
            <w:tcW w:w="10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-0.25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401" w:type="dxa"/>
            <w:vMerge w:val="continue"/>
            <w:tcBorders>
              <w:bottom w:val="single" w:color="auto" w:sz="4" w:space="0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(1.94)</w:t>
            </w:r>
          </w:p>
        </w:tc>
        <w:tc>
          <w:tcPr>
            <w:tcW w:w="843" w:type="dxa"/>
            <w:tcBorders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(3.04)</w:t>
            </w:r>
          </w:p>
        </w:tc>
        <w:tc>
          <w:tcPr>
            <w:tcW w:w="963" w:type="dxa"/>
            <w:tcBorders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(0.76)</w:t>
            </w:r>
          </w:p>
        </w:tc>
        <w:tc>
          <w:tcPr>
            <w:tcW w:w="1101" w:type="dxa"/>
            <w:tcBorders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(-1.39)</w:t>
            </w:r>
          </w:p>
        </w:tc>
        <w:tc>
          <w:tcPr>
            <w:tcW w:w="266" w:type="dxa"/>
            <w:tcBorders>
              <w:bottom w:val="single" w:color="auto" w:sz="4" w:space="0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(0.74)</w:t>
            </w:r>
          </w:p>
        </w:tc>
        <w:tc>
          <w:tcPr>
            <w:tcW w:w="967" w:type="dxa"/>
            <w:tcBorders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(1.61)</w:t>
            </w:r>
          </w:p>
        </w:tc>
        <w:tc>
          <w:tcPr>
            <w:tcW w:w="875" w:type="dxa"/>
            <w:tcBorders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(-0.42)</w:t>
            </w:r>
          </w:p>
        </w:tc>
        <w:tc>
          <w:tcPr>
            <w:tcW w:w="1063" w:type="dxa"/>
            <w:tcBorders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(-1.42)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401" w:type="dxa"/>
            <w:tcBorders>
              <w:top w:val="single" w:color="auto" w:sz="4" w:space="0"/>
              <w:bottom w:val="nil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观测数</w:t>
            </w:r>
          </w:p>
        </w:tc>
        <w:tc>
          <w:tcPr>
            <w:tcW w:w="968" w:type="dxa"/>
            <w:tcBorders>
              <w:top w:val="single" w:color="auto" w:sz="4" w:space="0"/>
              <w:bottom w:val="nil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408</w:t>
            </w:r>
          </w:p>
        </w:tc>
        <w:tc>
          <w:tcPr>
            <w:tcW w:w="843" w:type="dxa"/>
            <w:tcBorders>
              <w:top w:val="single" w:color="auto" w:sz="4" w:space="0"/>
              <w:bottom w:val="nil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408</w:t>
            </w:r>
          </w:p>
        </w:tc>
        <w:tc>
          <w:tcPr>
            <w:tcW w:w="963" w:type="dxa"/>
            <w:tcBorders>
              <w:top w:val="single" w:color="auto" w:sz="4" w:space="0"/>
              <w:bottom w:val="nil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229</w:t>
            </w:r>
          </w:p>
        </w:tc>
        <w:tc>
          <w:tcPr>
            <w:tcW w:w="1101" w:type="dxa"/>
            <w:tcBorders>
              <w:top w:val="single" w:color="auto" w:sz="4" w:space="0"/>
              <w:bottom w:val="nil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408</w:t>
            </w:r>
          </w:p>
        </w:tc>
        <w:tc>
          <w:tcPr>
            <w:tcW w:w="266" w:type="dxa"/>
            <w:tcBorders>
              <w:top w:val="single" w:color="auto" w:sz="4" w:space="0"/>
              <w:bottom w:val="nil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color="auto" w:sz="4" w:space="0"/>
              <w:bottom w:val="nil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408</w:t>
            </w:r>
          </w:p>
        </w:tc>
        <w:tc>
          <w:tcPr>
            <w:tcW w:w="967" w:type="dxa"/>
            <w:tcBorders>
              <w:top w:val="single" w:color="auto" w:sz="4" w:space="0"/>
              <w:bottom w:val="nil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408</w:t>
            </w:r>
          </w:p>
        </w:tc>
        <w:tc>
          <w:tcPr>
            <w:tcW w:w="875" w:type="dxa"/>
            <w:tcBorders>
              <w:top w:val="single" w:color="auto" w:sz="4" w:space="0"/>
              <w:bottom w:val="nil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229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408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401" w:type="dxa"/>
            <w:tcBorders>
              <w:top w:val="nil"/>
              <w:bottom w:val="single" w:color="auto" w:sz="4" w:space="0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拟合优度</w:t>
            </w:r>
          </w:p>
        </w:tc>
        <w:tc>
          <w:tcPr>
            <w:tcW w:w="968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0.90</w:t>
            </w:r>
          </w:p>
        </w:tc>
        <w:tc>
          <w:tcPr>
            <w:tcW w:w="843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0.98</w:t>
            </w:r>
          </w:p>
        </w:tc>
        <w:tc>
          <w:tcPr>
            <w:tcW w:w="963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0.75</w:t>
            </w:r>
          </w:p>
        </w:tc>
        <w:tc>
          <w:tcPr>
            <w:tcW w:w="1101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0.56</w:t>
            </w:r>
          </w:p>
        </w:tc>
        <w:tc>
          <w:tcPr>
            <w:tcW w:w="266" w:type="dxa"/>
            <w:tcBorders>
              <w:top w:val="nil"/>
              <w:bottom w:val="single" w:color="auto" w:sz="4" w:space="0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0.90</w:t>
            </w:r>
          </w:p>
        </w:tc>
        <w:tc>
          <w:tcPr>
            <w:tcW w:w="967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0.98</w:t>
            </w:r>
          </w:p>
        </w:tc>
        <w:tc>
          <w:tcPr>
            <w:tcW w:w="875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0.74</w:t>
            </w:r>
          </w:p>
        </w:tc>
        <w:tc>
          <w:tcPr>
            <w:tcW w:w="1063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0.57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401" w:type="dxa"/>
            <w:tcBorders>
              <w:top w:val="single" w:color="auto" w:sz="4" w:space="0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75" w:type="dxa"/>
            <w:gridSpan w:val="4"/>
            <w:tcBorders>
              <w:top w:val="single" w:color="auto" w:sz="4" w:space="0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C深度</w:t>
            </w:r>
          </w:p>
        </w:tc>
        <w:tc>
          <w:tcPr>
            <w:tcW w:w="266" w:type="dxa"/>
            <w:tcBorders>
              <w:top w:val="single" w:color="auto" w:sz="4" w:space="0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70" w:type="dxa"/>
            <w:gridSpan w:val="4"/>
            <w:tcBorders>
              <w:top w:val="single" w:color="auto" w:sz="4" w:space="0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 数字化程度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01" w:type="dxa"/>
            <w:vMerge w:val="restart"/>
            <w:tcBorders>
              <w:top w:val="single" w:color="auto" w:sz="4" w:space="0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数字化转型</w:t>
            </w:r>
          </w:p>
          <w:p>
            <w:pPr>
              <w:pStyle w:val="57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× </m:t>
              </m:r>
            </m:oMath>
            <w:r>
              <w:rPr>
                <w:rFonts w:cs="Times New Roman"/>
                <w:sz w:val="18"/>
                <w:szCs w:val="18"/>
              </w:rPr>
              <w:t>高普惠</w:t>
            </w:r>
          </w:p>
        </w:tc>
        <w:tc>
          <w:tcPr>
            <w:tcW w:w="968" w:type="dxa"/>
            <w:tcBorders>
              <w:top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1.47</w:t>
            </w:r>
          </w:p>
        </w:tc>
        <w:tc>
          <w:tcPr>
            <w:tcW w:w="843" w:type="dxa"/>
            <w:tcBorders>
              <w:top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0.03***</w:t>
            </w:r>
          </w:p>
        </w:tc>
        <w:tc>
          <w:tcPr>
            <w:tcW w:w="963" w:type="dxa"/>
            <w:tcBorders>
              <w:top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11.41***</w:t>
            </w:r>
          </w:p>
        </w:tc>
        <w:tc>
          <w:tcPr>
            <w:tcW w:w="1101" w:type="dxa"/>
            <w:tcBorders>
              <w:top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-0.22***</w:t>
            </w:r>
          </w:p>
        </w:tc>
        <w:tc>
          <w:tcPr>
            <w:tcW w:w="266" w:type="dxa"/>
            <w:tcBorders>
              <w:top w:val="single" w:color="auto" w:sz="4" w:space="0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-1.80*</w:t>
            </w:r>
          </w:p>
        </w:tc>
        <w:tc>
          <w:tcPr>
            <w:tcW w:w="967" w:type="dxa"/>
            <w:tcBorders>
              <w:top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-0.01</w:t>
            </w:r>
          </w:p>
        </w:tc>
        <w:tc>
          <w:tcPr>
            <w:tcW w:w="875" w:type="dxa"/>
            <w:tcBorders>
              <w:top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-6.79**</w:t>
            </w:r>
          </w:p>
        </w:tc>
        <w:tc>
          <w:tcPr>
            <w:tcW w:w="1063" w:type="dxa"/>
            <w:tcBorders>
              <w:top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0.12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401" w:type="dxa"/>
            <w:vMerge w:val="continue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8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(1.47)</w:t>
            </w:r>
          </w:p>
        </w:tc>
        <w:tc>
          <w:tcPr>
            <w:tcW w:w="84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(3.77)</w:t>
            </w:r>
          </w:p>
        </w:tc>
        <w:tc>
          <w:tcPr>
            <w:tcW w:w="9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(3.58)</w:t>
            </w:r>
          </w:p>
        </w:tc>
        <w:tc>
          <w:tcPr>
            <w:tcW w:w="1101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(-2.71)</w:t>
            </w:r>
          </w:p>
        </w:tc>
        <w:tc>
          <w:tcPr>
            <w:tcW w:w="266" w:type="dxa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(-1.72)</w:t>
            </w:r>
          </w:p>
        </w:tc>
        <w:tc>
          <w:tcPr>
            <w:tcW w:w="967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(-1.38)</w:t>
            </w:r>
          </w:p>
        </w:tc>
        <w:tc>
          <w:tcPr>
            <w:tcW w:w="87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(-2.36)</w:t>
            </w:r>
          </w:p>
        </w:tc>
        <w:tc>
          <w:tcPr>
            <w:tcW w:w="10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(1.33)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401" w:type="dxa"/>
            <w:vMerge w:val="restart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数字化转型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× </m:t>
              </m:r>
            </m:oMath>
            <w:r>
              <w:rPr>
                <w:rFonts w:cs="Times New Roman"/>
                <w:sz w:val="18"/>
                <w:szCs w:val="18"/>
              </w:rPr>
              <w:t>高普惠</w:t>
            </w:r>
          </w:p>
        </w:tc>
        <w:tc>
          <w:tcPr>
            <w:tcW w:w="968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-1.19</w:t>
            </w:r>
          </w:p>
        </w:tc>
        <w:tc>
          <w:tcPr>
            <w:tcW w:w="84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-0.01</w:t>
            </w:r>
          </w:p>
        </w:tc>
        <w:tc>
          <w:tcPr>
            <w:tcW w:w="9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-3.11*</w:t>
            </w:r>
          </w:p>
        </w:tc>
        <w:tc>
          <w:tcPr>
            <w:tcW w:w="1101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0.02</w:t>
            </w:r>
          </w:p>
        </w:tc>
        <w:tc>
          <w:tcPr>
            <w:tcW w:w="266" w:type="dxa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-0.21</w:t>
            </w:r>
          </w:p>
        </w:tc>
        <w:tc>
          <w:tcPr>
            <w:tcW w:w="967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-0.01</w:t>
            </w:r>
          </w:p>
        </w:tc>
        <w:tc>
          <w:tcPr>
            <w:tcW w:w="87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3.85**</w:t>
            </w:r>
          </w:p>
        </w:tc>
        <w:tc>
          <w:tcPr>
            <w:tcW w:w="10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0.12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401" w:type="dxa"/>
            <w:vMerge w:val="continue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8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(-1.65)</w:t>
            </w:r>
          </w:p>
        </w:tc>
        <w:tc>
          <w:tcPr>
            <w:tcW w:w="84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(-1.06)</w:t>
            </w:r>
          </w:p>
        </w:tc>
        <w:tc>
          <w:tcPr>
            <w:tcW w:w="9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(-1.70)</w:t>
            </w:r>
          </w:p>
        </w:tc>
        <w:tc>
          <w:tcPr>
            <w:tcW w:w="1101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(0.31)</w:t>
            </w:r>
          </w:p>
        </w:tc>
        <w:tc>
          <w:tcPr>
            <w:tcW w:w="266" w:type="dxa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(-0.28)</w:t>
            </w:r>
          </w:p>
        </w:tc>
        <w:tc>
          <w:tcPr>
            <w:tcW w:w="967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(-1.13)</w:t>
            </w:r>
          </w:p>
        </w:tc>
        <w:tc>
          <w:tcPr>
            <w:tcW w:w="87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(2.27)</w:t>
            </w:r>
          </w:p>
        </w:tc>
        <w:tc>
          <w:tcPr>
            <w:tcW w:w="10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(1.34)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401" w:type="dxa"/>
            <w:vMerge w:val="restart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数字化转型</w:t>
            </w:r>
          </w:p>
        </w:tc>
        <w:tc>
          <w:tcPr>
            <w:tcW w:w="968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-0.56</w:t>
            </w:r>
          </w:p>
        </w:tc>
        <w:tc>
          <w:tcPr>
            <w:tcW w:w="84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-0.00</w:t>
            </w:r>
          </w:p>
        </w:tc>
        <w:tc>
          <w:tcPr>
            <w:tcW w:w="9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-6.42*</w:t>
            </w:r>
          </w:p>
        </w:tc>
        <w:tc>
          <w:tcPr>
            <w:tcW w:w="1101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0.25***</w:t>
            </w:r>
          </w:p>
        </w:tc>
        <w:tc>
          <w:tcPr>
            <w:tcW w:w="266" w:type="dxa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0.96</w:t>
            </w:r>
          </w:p>
        </w:tc>
        <w:tc>
          <w:tcPr>
            <w:tcW w:w="967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0.01**</w:t>
            </w:r>
          </w:p>
        </w:tc>
        <w:tc>
          <w:tcPr>
            <w:tcW w:w="87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3.80</w:t>
            </w:r>
          </w:p>
        </w:tc>
        <w:tc>
          <w:tcPr>
            <w:tcW w:w="10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0.09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401" w:type="dxa"/>
            <w:vMerge w:val="continue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8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(-0.53)</w:t>
            </w:r>
          </w:p>
        </w:tc>
        <w:tc>
          <w:tcPr>
            <w:tcW w:w="84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(-0.35)</w:t>
            </w:r>
          </w:p>
        </w:tc>
        <w:tc>
          <w:tcPr>
            <w:tcW w:w="9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(-1.91)</w:t>
            </w:r>
          </w:p>
        </w:tc>
        <w:tc>
          <w:tcPr>
            <w:tcW w:w="1101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(3.22)</w:t>
            </w:r>
          </w:p>
        </w:tc>
        <w:tc>
          <w:tcPr>
            <w:tcW w:w="266" w:type="dxa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(1.05)</w:t>
            </w:r>
          </w:p>
        </w:tc>
        <w:tc>
          <w:tcPr>
            <w:tcW w:w="967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(2.06)</w:t>
            </w:r>
          </w:p>
        </w:tc>
        <w:tc>
          <w:tcPr>
            <w:tcW w:w="87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(1.26)</w:t>
            </w:r>
          </w:p>
        </w:tc>
        <w:tc>
          <w:tcPr>
            <w:tcW w:w="10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(1.40)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401" w:type="dxa"/>
            <w:vMerge w:val="restart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数字化转型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68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1.15**</w:t>
            </w:r>
          </w:p>
        </w:tc>
        <w:tc>
          <w:tcPr>
            <w:tcW w:w="84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0.01**</w:t>
            </w:r>
          </w:p>
        </w:tc>
        <w:tc>
          <w:tcPr>
            <w:tcW w:w="9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0.91</w:t>
            </w:r>
          </w:p>
        </w:tc>
        <w:tc>
          <w:tcPr>
            <w:tcW w:w="1101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-0.09</w:t>
            </w:r>
          </w:p>
        </w:tc>
        <w:tc>
          <w:tcPr>
            <w:tcW w:w="266" w:type="dxa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0.78</w:t>
            </w:r>
          </w:p>
        </w:tc>
        <w:tc>
          <w:tcPr>
            <w:tcW w:w="967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0.01</w:t>
            </w:r>
          </w:p>
        </w:tc>
        <w:tc>
          <w:tcPr>
            <w:tcW w:w="875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-3.27**</w:t>
            </w:r>
          </w:p>
        </w:tc>
        <w:tc>
          <w:tcPr>
            <w:tcW w:w="1063" w:type="dxa"/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-0.16**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401" w:type="dxa"/>
            <w:vMerge w:val="continue"/>
            <w:tcBorders>
              <w:bottom w:val="single" w:color="auto" w:sz="4" w:space="0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(2.07)</w:t>
            </w:r>
          </w:p>
        </w:tc>
        <w:tc>
          <w:tcPr>
            <w:tcW w:w="843" w:type="dxa"/>
            <w:tcBorders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(2.58)</w:t>
            </w:r>
          </w:p>
        </w:tc>
        <w:tc>
          <w:tcPr>
            <w:tcW w:w="963" w:type="dxa"/>
            <w:tcBorders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(0.52)</w:t>
            </w:r>
          </w:p>
        </w:tc>
        <w:tc>
          <w:tcPr>
            <w:tcW w:w="1101" w:type="dxa"/>
            <w:tcBorders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(-1.64)</w:t>
            </w:r>
          </w:p>
        </w:tc>
        <w:tc>
          <w:tcPr>
            <w:tcW w:w="266" w:type="dxa"/>
            <w:tcBorders>
              <w:bottom w:val="single" w:color="auto" w:sz="4" w:space="0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(1.64)</w:t>
            </w:r>
          </w:p>
        </w:tc>
        <w:tc>
          <w:tcPr>
            <w:tcW w:w="967" w:type="dxa"/>
            <w:tcBorders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(1.60)</w:t>
            </w:r>
          </w:p>
        </w:tc>
        <w:tc>
          <w:tcPr>
            <w:tcW w:w="875" w:type="dxa"/>
            <w:tcBorders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(-2.50)</w:t>
            </w:r>
          </w:p>
        </w:tc>
        <w:tc>
          <w:tcPr>
            <w:tcW w:w="1063" w:type="dxa"/>
            <w:tcBorders>
              <w:bottom w:val="sing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(-2.54)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401" w:type="dxa"/>
            <w:tcBorders>
              <w:top w:val="single" w:color="auto" w:sz="4" w:space="0"/>
              <w:bottom w:val="nil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观测数</w:t>
            </w:r>
          </w:p>
        </w:tc>
        <w:tc>
          <w:tcPr>
            <w:tcW w:w="968" w:type="dxa"/>
            <w:tcBorders>
              <w:top w:val="single" w:color="auto" w:sz="4" w:space="0"/>
              <w:bottom w:val="nil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408</w:t>
            </w:r>
          </w:p>
        </w:tc>
        <w:tc>
          <w:tcPr>
            <w:tcW w:w="843" w:type="dxa"/>
            <w:tcBorders>
              <w:top w:val="single" w:color="auto" w:sz="4" w:space="0"/>
              <w:bottom w:val="nil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408</w:t>
            </w:r>
          </w:p>
        </w:tc>
        <w:tc>
          <w:tcPr>
            <w:tcW w:w="963" w:type="dxa"/>
            <w:tcBorders>
              <w:top w:val="single" w:color="auto" w:sz="4" w:space="0"/>
              <w:bottom w:val="nil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229</w:t>
            </w:r>
          </w:p>
        </w:tc>
        <w:tc>
          <w:tcPr>
            <w:tcW w:w="1101" w:type="dxa"/>
            <w:tcBorders>
              <w:top w:val="single" w:color="auto" w:sz="4" w:space="0"/>
              <w:bottom w:val="nil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408</w:t>
            </w:r>
          </w:p>
        </w:tc>
        <w:tc>
          <w:tcPr>
            <w:tcW w:w="266" w:type="dxa"/>
            <w:tcBorders>
              <w:top w:val="single" w:color="auto" w:sz="4" w:space="0"/>
              <w:bottom w:val="nil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color="auto" w:sz="4" w:space="0"/>
              <w:bottom w:val="nil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408</w:t>
            </w:r>
          </w:p>
        </w:tc>
        <w:tc>
          <w:tcPr>
            <w:tcW w:w="967" w:type="dxa"/>
            <w:tcBorders>
              <w:top w:val="single" w:color="auto" w:sz="4" w:space="0"/>
              <w:bottom w:val="nil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408</w:t>
            </w:r>
          </w:p>
        </w:tc>
        <w:tc>
          <w:tcPr>
            <w:tcW w:w="875" w:type="dxa"/>
            <w:tcBorders>
              <w:top w:val="single" w:color="auto" w:sz="4" w:space="0"/>
              <w:bottom w:val="nil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229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408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401" w:type="dxa"/>
            <w:tcBorders>
              <w:top w:val="nil"/>
              <w:bottom w:val="double" w:color="auto" w:sz="4" w:space="0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拟合优度</w:t>
            </w:r>
          </w:p>
        </w:tc>
        <w:tc>
          <w:tcPr>
            <w:tcW w:w="968" w:type="dxa"/>
            <w:tcBorders>
              <w:top w:val="nil"/>
              <w:bottom w:val="doub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0.90</w:t>
            </w:r>
          </w:p>
        </w:tc>
        <w:tc>
          <w:tcPr>
            <w:tcW w:w="843" w:type="dxa"/>
            <w:tcBorders>
              <w:top w:val="nil"/>
              <w:bottom w:val="doub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0.98</w:t>
            </w:r>
          </w:p>
        </w:tc>
        <w:tc>
          <w:tcPr>
            <w:tcW w:w="963" w:type="dxa"/>
            <w:tcBorders>
              <w:top w:val="nil"/>
              <w:bottom w:val="doub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0.76</w:t>
            </w:r>
          </w:p>
        </w:tc>
        <w:tc>
          <w:tcPr>
            <w:tcW w:w="1101" w:type="dxa"/>
            <w:tcBorders>
              <w:top w:val="nil"/>
              <w:bottom w:val="doub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0.57</w:t>
            </w:r>
          </w:p>
        </w:tc>
        <w:tc>
          <w:tcPr>
            <w:tcW w:w="266" w:type="dxa"/>
            <w:tcBorders>
              <w:top w:val="nil"/>
              <w:bottom w:val="double" w:color="auto" w:sz="4" w:space="0"/>
            </w:tcBorders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bottom w:val="doub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0.90</w:t>
            </w:r>
          </w:p>
        </w:tc>
        <w:tc>
          <w:tcPr>
            <w:tcW w:w="967" w:type="dxa"/>
            <w:tcBorders>
              <w:top w:val="nil"/>
              <w:bottom w:val="doub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0.98</w:t>
            </w:r>
          </w:p>
        </w:tc>
        <w:tc>
          <w:tcPr>
            <w:tcW w:w="875" w:type="dxa"/>
            <w:tcBorders>
              <w:top w:val="nil"/>
              <w:bottom w:val="doub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0.74</w:t>
            </w:r>
          </w:p>
        </w:tc>
        <w:tc>
          <w:tcPr>
            <w:tcW w:w="1063" w:type="dxa"/>
            <w:tcBorders>
              <w:top w:val="nil"/>
              <w:bottom w:val="double" w:color="auto" w:sz="4" w:space="0"/>
            </w:tcBorders>
            <w:vAlign w:val="bottom"/>
          </w:tcPr>
          <w:p>
            <w:pPr>
              <w:pStyle w:val="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0.57</w:t>
            </w:r>
          </w:p>
        </w:tc>
      </w:tr>
    </w:tbl>
    <w:p>
      <w:pPr>
        <w:pStyle w:val="47"/>
        <w:ind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注：括号内为</w:t>
      </w:r>
      <w:r>
        <w:rPr>
          <w:i/>
          <w:iCs/>
          <w:sz w:val="18"/>
          <w:szCs w:val="18"/>
        </w:rPr>
        <w:t>t</w:t>
      </w:r>
      <w:r>
        <w:rPr>
          <w:rFonts w:hint="eastAsia"/>
          <w:sz w:val="18"/>
          <w:szCs w:val="18"/>
        </w:rPr>
        <w:t>值。数字化转型指数取标准化并滞后一期。除小微贷款市场份额外，各因变量均为贷款占总贷款和垫款的比重。高低普惠以八年平均普惠金融指数的中位数为界。控制变量包括银行总资产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对数）、流动性比例、成本收入比、资本充足率、银行所在省的人均</w:t>
      </w:r>
      <w:r>
        <w:rPr>
          <w:sz w:val="18"/>
          <w:szCs w:val="18"/>
        </w:rPr>
        <w:t>GDP</w:t>
      </w:r>
      <w:r>
        <w:rPr>
          <w:rFonts w:hint="eastAsia"/>
          <w:sz w:val="18"/>
          <w:szCs w:val="18"/>
        </w:rPr>
        <w:t>（对数）、人均</w:t>
      </w:r>
      <w:r>
        <w:rPr>
          <w:sz w:val="18"/>
          <w:szCs w:val="18"/>
        </w:rPr>
        <w:t>GDP</w:t>
      </w:r>
      <w:r>
        <w:rPr>
          <w:rFonts w:hint="eastAsia"/>
          <w:sz w:val="18"/>
          <w:szCs w:val="18"/>
        </w:rPr>
        <w:t>增长速度，以及银行和年份固定效应。标准误为异方差稳健标准误。</w:t>
      </w:r>
      <w:r>
        <w:rPr>
          <w:sz w:val="18"/>
          <w:szCs w:val="18"/>
        </w:rPr>
        <w:t>***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**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表示在</w:t>
      </w:r>
      <w:r>
        <w:rPr>
          <w:sz w:val="18"/>
          <w:szCs w:val="18"/>
        </w:rPr>
        <w:t>1%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5%</w:t>
      </w:r>
      <w:r>
        <w:rPr>
          <w:rFonts w:hint="eastAsia"/>
          <w:sz w:val="18"/>
          <w:szCs w:val="18"/>
        </w:rPr>
        <w:t>和</w:t>
      </w:r>
      <w:r>
        <w:rPr>
          <w:sz w:val="18"/>
          <w:szCs w:val="18"/>
        </w:rPr>
        <w:t>10%</w:t>
      </w:r>
      <w:r>
        <w:rPr>
          <w:rFonts w:hint="eastAsia"/>
          <w:sz w:val="18"/>
          <w:szCs w:val="18"/>
        </w:rPr>
        <w:t>的水平上显著。</w:t>
      </w:r>
    </w:p>
    <w:p>
      <w:pPr>
        <w:widowControl/>
        <w:spacing w:line="240" w:lineRule="auto"/>
        <w:jc w:val="left"/>
        <w:rPr>
          <w:rFonts w:ascii="Times New Roman" w:hAnsi="Times New Roman" w:eastAsia="仿宋" w:cs="仿宋"/>
          <w:szCs w:val="21"/>
        </w:rPr>
      </w:pPr>
      <w:r>
        <w:br w:type="page"/>
      </w:r>
    </w:p>
    <w:p>
      <w:pPr>
        <w:pStyle w:val="47"/>
        <w:ind w:firstLine="422"/>
        <w:jc w:val="center"/>
        <w:rPr>
          <w:rFonts w:ascii="黑体" w:hAnsi="黑体" w:eastAsia="黑体" w:cs="Times New Roman"/>
          <w:b/>
        </w:rPr>
      </w:pPr>
      <w:r>
        <w:rPr>
          <w:rFonts w:hint="eastAsia" w:ascii="宋体" w:hAnsi="宋体" w:eastAsia="宋体" w:cs="宋体"/>
          <w:b/>
          <w:bCs w:val="0"/>
          <w:sz w:val="20"/>
          <w:szCs w:val="20"/>
        </w:rPr>
        <w:t>表A3 稳健性检验：2013年后数据</w:t>
      </w:r>
    </w:p>
    <w:tbl>
      <w:tblPr>
        <w:tblStyle w:val="1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87"/>
        <w:gridCol w:w="491"/>
        <w:gridCol w:w="959"/>
        <w:gridCol w:w="959"/>
        <w:gridCol w:w="959"/>
        <w:gridCol w:w="215"/>
        <w:gridCol w:w="744"/>
        <w:gridCol w:w="959"/>
        <w:gridCol w:w="959"/>
        <w:gridCol w:w="914"/>
        <w:gridCol w:w="11"/>
        <w:gridCol w:w="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40" w:hRule="atLeast"/>
        </w:trPr>
        <w:tc>
          <w:tcPr>
            <w:tcW w:w="1274" w:type="dxa"/>
            <w:gridSpan w:val="2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</w:p>
        </w:tc>
        <w:tc>
          <w:tcPr>
            <w:tcW w:w="3498" w:type="dxa"/>
            <w:gridSpan w:val="5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z w:val="18"/>
                <w:szCs w:val="18"/>
              </w:rPr>
              <w:t>全样本</w:t>
            </w:r>
          </w:p>
        </w:tc>
        <w:tc>
          <w:tcPr>
            <w:tcW w:w="3501" w:type="dxa"/>
            <w:gridSpan w:val="5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z w:val="18"/>
                <w:szCs w:val="18"/>
              </w:rPr>
              <w:t>城商行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因变量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小微贷款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小微贷款市场份额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短期贷款(1年内)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不良贷款率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小微贷款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小微贷款市场份额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短期贷款(1年内)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不良贷款率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(1)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(2)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(3)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(4)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(5)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(6)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(7)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(8)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320" w:hRule="atLeast"/>
        </w:trPr>
        <w:tc>
          <w:tcPr>
            <w:tcW w:w="826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z w:val="18"/>
                <w:szCs w:val="18"/>
              </w:rPr>
              <w:t>Panel</w:t>
            </w:r>
            <w:r>
              <w:rPr>
                <w:rFonts w:ascii="Times New Roman" w:hAnsi="Times New Roman" w:eastAsia="仿宋" w:cs="仿宋"/>
                <w:sz w:val="18"/>
                <w:szCs w:val="18"/>
              </w:rPr>
              <w:t xml:space="preserve"> A </w:t>
            </w:r>
            <w:r>
              <w:rPr>
                <w:rFonts w:hint="eastAsia" w:ascii="Times New Roman" w:hAnsi="Times New Roman" w:eastAsia="仿宋" w:cs="仿宋"/>
                <w:sz w:val="18"/>
                <w:szCs w:val="18"/>
              </w:rPr>
              <w:t>基准回归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数字化转型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-0.06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0.17***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-0.35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0.66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0.17**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(-0.08)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(0.44)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(0.35)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(2.68)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(-0.41)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(0.34)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(0.24)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(2.43)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数字化转型</w:t>
            </w:r>
            <w:r>
              <w:rPr>
                <w:rFonts w:ascii="Times New Roman" w:hAnsi="Times New Roman" w:eastAsia="仿宋" w:cs="仿宋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-0.01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-1.14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-0.09***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-1.31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-0.08**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(0.46)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(-0.87)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(-1.30)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(-2.86)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(1.07)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(1.53)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(-1.31)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(-2.17)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观测数</w:t>
            </w:r>
          </w:p>
        </w:tc>
        <w:tc>
          <w:tcPr>
            <w:tcW w:w="761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449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449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290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449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365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365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222</w:t>
            </w:r>
          </w:p>
        </w:tc>
        <w:tc>
          <w:tcPr>
            <w:tcW w:w="936" w:type="dxa"/>
            <w:gridSpan w:val="3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拟合优度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0.94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0.99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0.79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0.57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0.92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0.98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0.75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" w:type="dxa"/>
          <w:trHeight w:val="320" w:hRule="atLeast"/>
        </w:trPr>
        <w:tc>
          <w:tcPr>
            <w:tcW w:w="82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Panel B 地区异质性回归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数字化转型</w:t>
            </w:r>
            <m:oMath>
              <m:r>
                <m:rPr>
                  <m:sty m:val="p"/>
                </m:rPr>
                <w:rPr>
                  <w:rFonts w:ascii="Cambria Math" w:hAnsi="Cambria Math" w:eastAsia="仿宋" w:cs="仿宋"/>
                  <w:sz w:val="18"/>
                  <w:szCs w:val="18"/>
                </w:rPr>
                <m:t xml:space="preserve">× </m:t>
              </m:r>
            </m:oMath>
            <w:r>
              <w:rPr>
                <w:rFonts w:ascii="Times New Roman" w:hAnsi="Times New Roman" w:eastAsia="仿宋" w:cs="仿宋"/>
                <w:sz w:val="18"/>
                <w:szCs w:val="18"/>
              </w:rPr>
              <w:t>高普惠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1.91*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10.07***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-0.11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2.14**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0.01**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12.18***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-0.11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(1.94)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(0.28)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(2.92)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(-1.00)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(2.09)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(2.18)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(2.94)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(-0.93)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数字化转型</w:t>
            </w:r>
            <w:r>
              <w:rPr>
                <w:rFonts w:ascii="Times New Roman" w:hAnsi="Times New Roman" w:eastAsia="仿宋" w:cs="仿宋"/>
                <w:sz w:val="18"/>
                <w:szCs w:val="18"/>
                <w:vertAlign w:val="superscript"/>
              </w:rPr>
              <w:t>2</w:t>
            </w:r>
            <m:oMath>
              <m:r>
                <m:rPr>
                  <m:sty m:val="p"/>
                </m:rPr>
                <w:rPr>
                  <w:rFonts w:ascii="Cambria Math" w:hAnsi="Cambria Math" w:eastAsia="仿宋" w:cs="仿宋"/>
                  <w:sz w:val="18"/>
                  <w:szCs w:val="18"/>
                </w:rPr>
                <m:t xml:space="preserve">× </m:t>
              </m:r>
            </m:oMath>
            <w:r>
              <w:rPr>
                <w:rFonts w:ascii="Times New Roman" w:hAnsi="Times New Roman" w:eastAsia="仿宋" w:cs="仿宋"/>
                <w:sz w:val="18"/>
                <w:szCs w:val="18"/>
              </w:rPr>
              <w:t>高普惠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-1.07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-3.70**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0.04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-1.26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-0.01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-4.92*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(-1.64)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(0.12)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(-2.45)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(0.91)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(-1.41)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(-1.38)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(-1.93)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(0.15)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数字化转型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-0.84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-5.76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0.22***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-1.26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-0.00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-7.98*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0.22**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(-0.89)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(0.23)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(-1.61)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(2.66)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(-1.20)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(-0.73)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(-1.86)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(2.42)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数字化转型</w:t>
            </w:r>
            <w:r>
              <w:rPr>
                <w:rFonts w:ascii="Times New Roman" w:hAnsi="Times New Roman" w:eastAsia="仿宋" w:cs="仿宋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0.60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-0.01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1.27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-0.10**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1.05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0.01**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2.37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-0.07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(1.22)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(-0.46)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(0.89)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(-2.42)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(1.41)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(2.27)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(0.99)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(-0.99)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观测数</w:t>
            </w:r>
          </w:p>
        </w:tc>
        <w:tc>
          <w:tcPr>
            <w:tcW w:w="761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449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449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290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449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365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365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222</w:t>
            </w:r>
          </w:p>
        </w:tc>
        <w:tc>
          <w:tcPr>
            <w:tcW w:w="936" w:type="dxa"/>
            <w:gridSpan w:val="3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拟合优度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0.94</w:t>
            </w:r>
          </w:p>
        </w:tc>
        <w:tc>
          <w:tcPr>
            <w:tcW w:w="936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0.99</w:t>
            </w:r>
          </w:p>
        </w:tc>
        <w:tc>
          <w:tcPr>
            <w:tcW w:w="936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0.80</w:t>
            </w:r>
          </w:p>
        </w:tc>
        <w:tc>
          <w:tcPr>
            <w:tcW w:w="936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0.57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0.92</w:t>
            </w:r>
          </w:p>
        </w:tc>
        <w:tc>
          <w:tcPr>
            <w:tcW w:w="936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0.98</w:t>
            </w:r>
          </w:p>
        </w:tc>
        <w:tc>
          <w:tcPr>
            <w:tcW w:w="936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0.76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0.56</w:t>
            </w:r>
          </w:p>
        </w:tc>
      </w:tr>
    </w:tbl>
    <w:p>
      <w:pPr>
        <w:pStyle w:val="47"/>
        <w:ind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注：括号内为</w:t>
      </w:r>
      <w:r>
        <w:rPr>
          <w:i/>
          <w:iCs/>
          <w:sz w:val="18"/>
          <w:szCs w:val="18"/>
        </w:rPr>
        <w:t>t</w:t>
      </w:r>
      <w:r>
        <w:rPr>
          <w:rFonts w:hint="eastAsia"/>
          <w:sz w:val="18"/>
          <w:szCs w:val="18"/>
        </w:rPr>
        <w:t>值。数字化转型指数取标准化并滞后一期。除小微贷款市场份额外，各因变量均为贷款占总贷款和垫款的比重。高低普惠以八年平均普惠金融指数的中位数为界。控制变量包括银行总资产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对数）、流动性比例、成本收入比、资本充足率、银行所在省的人均</w:t>
      </w:r>
      <w:r>
        <w:rPr>
          <w:sz w:val="18"/>
          <w:szCs w:val="18"/>
        </w:rPr>
        <w:t>GDP</w:t>
      </w:r>
      <w:r>
        <w:rPr>
          <w:rFonts w:hint="eastAsia"/>
          <w:sz w:val="18"/>
          <w:szCs w:val="18"/>
        </w:rPr>
        <w:t>（对数）、人均</w:t>
      </w:r>
      <w:r>
        <w:rPr>
          <w:sz w:val="18"/>
          <w:szCs w:val="18"/>
        </w:rPr>
        <w:t>GDP</w:t>
      </w:r>
      <w:r>
        <w:rPr>
          <w:rFonts w:hint="eastAsia"/>
          <w:sz w:val="18"/>
          <w:szCs w:val="18"/>
        </w:rPr>
        <w:t>增长速度，以及银行和年份固定效应和银行类型特定的线性时间趋势。标准误为异方差稳健标准误。</w:t>
      </w:r>
      <w:r>
        <w:rPr>
          <w:sz w:val="18"/>
          <w:szCs w:val="18"/>
        </w:rPr>
        <w:t>***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**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表示在</w:t>
      </w:r>
      <w:r>
        <w:rPr>
          <w:sz w:val="18"/>
          <w:szCs w:val="18"/>
        </w:rPr>
        <w:t>1%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5%</w:t>
      </w:r>
      <w:r>
        <w:rPr>
          <w:rFonts w:hint="eastAsia"/>
          <w:sz w:val="18"/>
          <w:szCs w:val="18"/>
        </w:rPr>
        <w:t>和</w:t>
      </w:r>
      <w:r>
        <w:rPr>
          <w:sz w:val="18"/>
          <w:szCs w:val="18"/>
        </w:rPr>
        <w:t>10%</w:t>
      </w:r>
      <w:r>
        <w:rPr>
          <w:rFonts w:hint="eastAsia"/>
          <w:sz w:val="18"/>
          <w:szCs w:val="18"/>
        </w:rPr>
        <w:t>的水平上显著。</w:t>
      </w:r>
    </w:p>
    <w:p>
      <w:pPr>
        <w:widowControl/>
        <w:spacing w:line="240" w:lineRule="auto"/>
        <w:jc w:val="left"/>
      </w:pPr>
      <w:r>
        <w:br w:type="page"/>
      </w:r>
    </w:p>
    <w:p>
      <w:pPr>
        <w:pStyle w:val="47"/>
        <w:ind w:firstLine="422"/>
        <w:jc w:val="center"/>
        <w:rPr>
          <w:rFonts w:ascii="黑体" w:hAnsi="黑体" w:eastAsia="黑体" w:cs="Times New Roman"/>
          <w:b/>
        </w:rPr>
      </w:pPr>
      <w:r>
        <w:rPr>
          <w:rFonts w:hint="eastAsia" w:ascii="宋体" w:hAnsi="宋体" w:eastAsia="宋体" w:cs="宋体"/>
          <w:b/>
          <w:bCs w:val="0"/>
          <w:sz w:val="20"/>
          <w:szCs w:val="20"/>
        </w:rPr>
        <w:t>表A4 稳健性检验：样条回归</w:t>
      </w:r>
    </w:p>
    <w:tbl>
      <w:tblPr>
        <w:tblStyle w:val="15"/>
        <w:tblW w:w="497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897"/>
        <w:gridCol w:w="898"/>
        <w:gridCol w:w="897"/>
        <w:gridCol w:w="896"/>
        <w:gridCol w:w="894"/>
        <w:gridCol w:w="895"/>
        <w:gridCol w:w="895"/>
        <w:gridCol w:w="894"/>
        <w:gridCol w:w="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4" w:type="dxa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98" w:type="dxa"/>
            <w:gridSpan w:val="4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全样本</w:t>
            </w:r>
          </w:p>
        </w:tc>
        <w:tc>
          <w:tcPr>
            <w:tcW w:w="3496" w:type="dxa"/>
            <w:gridSpan w:val="5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城商行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因变量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小微贷款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小微贷款市场份额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短期贷款(1年内)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不良贷款率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小微贷款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小微贷款市场份额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短期贷款(1年内)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不良贷款率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(1)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(2)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(3)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(4)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(5)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(6)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(7)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(8)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2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Panel A 基准回归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4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数字化低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-0.32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0.05*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2.76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0.36***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-1.16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-0.01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3.17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0.36***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4" w:type="dxa"/>
            <w:vMerge w:val="continue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(-0.25)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(1.68)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(0.66)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(3.48)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(-0.86)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(-0.68)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(0.71)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(3.16)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4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数字化高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0.96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-4.09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-0.36***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2.11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0.03**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-5.04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-0.34**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(0.77)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(-1.32)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(-1.09)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(-2.96)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(1.51)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(2.28)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(-1.24)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(-2.49)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观测数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506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506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305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506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408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408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229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拟合优度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0.93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0.98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0.78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0.57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0.90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0.98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0.73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20" w:hRule="atLeast"/>
        </w:trPr>
        <w:tc>
          <w:tcPr>
            <w:tcW w:w="82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Panel B 地区异质性回归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4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数字化低</w:t>
            </w:r>
            <m:oMath>
              <m:r>
                <m:rPr/>
                <w:rPr>
                  <w:rFonts w:hint="eastAsia" w:ascii="Cambria Math" w:hAnsi="Cambria Math" w:eastAsia="仿宋" w:cs="仿宋"/>
                  <w:sz w:val="18"/>
                  <w:szCs w:val="18"/>
                </w:rPr>
                <m:t>×</m:t>
              </m:r>
            </m:oMath>
            <w:r>
              <w:rPr>
                <w:rFonts w:hint="eastAsia" w:ascii="仿宋" w:hAnsi="仿宋" w:eastAsia="仿宋" w:cs="仿宋"/>
                <w:sz w:val="18"/>
                <w:szCs w:val="18"/>
              </w:rPr>
              <w:t>高普惠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4.50**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-0.03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15.70**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-0.29*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5.17**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0.04***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17.43*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4" w:type="dxa"/>
            <w:vMerge w:val="continue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(2.29)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(-0.52)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(2.15)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(-1.73)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(2.35)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(2.92)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(1.85)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(-1.33)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数字化高</w:t>
            </w:r>
            <m:oMath>
              <m:r>
                <m:rPr/>
                <w:rPr>
                  <w:rFonts w:hint="eastAsia" w:ascii="Cambria Math" w:hAnsi="Cambria Math" w:eastAsia="仿宋" w:cs="仿宋"/>
                  <w:sz w:val="18"/>
                  <w:szCs w:val="18"/>
                </w:rPr>
                <m:t>×</m:t>
              </m:r>
            </m:oMath>
            <w:r>
              <w:rPr>
                <w:rFonts w:hint="eastAsia" w:ascii="仿宋" w:hAnsi="仿宋" w:eastAsia="仿宋" w:cs="仿宋"/>
                <w:sz w:val="18"/>
                <w:szCs w:val="18"/>
              </w:rPr>
              <w:t>高普惠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-4.57*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0.07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-13.09*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0.24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-5.30*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-0.03*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-13.59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4" w:type="dxa"/>
            <w:vMerge w:val="continue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(-1.95)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(0.57)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(-1.84)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(1.16)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(-1.73)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(-1.66)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(-1.30)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(0.68)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数字化低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-2.14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-7.84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0.47***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-3.47*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-0.02**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-9.61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0.46***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(-1.31)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(1.33)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(-1.10)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(3.24)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(-1.86)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(-2.41)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(-1.05)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(2.60)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数字化高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2.80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-0.10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4.85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-0.44**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4.53*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0.04***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5.03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-0.40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(1.55)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(-0.93)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(0.72)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(-2.31)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(1.77)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(3.08)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(0.52)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(-1.45)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4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观测数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506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506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305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506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408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408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229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4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拟合优度</w:t>
            </w:r>
          </w:p>
        </w:tc>
        <w:tc>
          <w:tcPr>
            <w:tcW w:w="874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0.93</w:t>
            </w:r>
          </w:p>
        </w:tc>
        <w:tc>
          <w:tcPr>
            <w:tcW w:w="875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0.98</w:t>
            </w:r>
          </w:p>
        </w:tc>
        <w:tc>
          <w:tcPr>
            <w:tcW w:w="875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0.79</w:t>
            </w:r>
          </w:p>
        </w:tc>
        <w:tc>
          <w:tcPr>
            <w:tcW w:w="874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0.57</w:t>
            </w:r>
          </w:p>
        </w:tc>
        <w:tc>
          <w:tcPr>
            <w:tcW w:w="872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0.90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0.98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0.75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0.56</w:t>
            </w:r>
          </w:p>
        </w:tc>
      </w:tr>
    </w:tbl>
    <w:p>
      <w:pPr>
        <w:pStyle w:val="47"/>
        <w:ind w:firstLine="360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注：括号内为</w:t>
      </w:r>
      <w:r>
        <w:rPr>
          <w:rFonts w:hint="eastAsia" w:ascii="仿宋" w:hAnsi="仿宋" w:eastAsia="仿宋" w:cs="仿宋"/>
          <w:i/>
          <w:iCs/>
          <w:sz w:val="18"/>
          <w:szCs w:val="18"/>
        </w:rPr>
        <w:t>t</w:t>
      </w:r>
      <w:r>
        <w:rPr>
          <w:rFonts w:hint="eastAsia" w:ascii="仿宋" w:hAnsi="仿宋" w:eastAsia="仿宋" w:cs="仿宋"/>
          <w:sz w:val="18"/>
          <w:szCs w:val="18"/>
        </w:rPr>
        <w:t>值。数字化转型指数取标准化并滞后一期。除小微贷款市场份额外，各因变量均为贷款占总贷款和垫款的比重。高低普惠以八年平均普惠金融指数的中位数为界。控制变量包括银行总资产(对数）、流动性比例、成本收入比、资本充足率、银行所在省的人均GDP（对数）、人均GDP增长速度，以及银行和年份固定效应和银行类型特定的线性时间趋势。标准误为异方差稳健标准误。***、**、*表示在1%、5%和10%的水平上显著。</w:t>
      </w:r>
    </w:p>
    <w:p>
      <w:pPr>
        <w:widowControl/>
        <w:spacing w:line="240" w:lineRule="auto"/>
        <w:jc w:val="left"/>
      </w:pPr>
      <w:r>
        <w:br w:type="page"/>
      </w:r>
    </w:p>
    <w:p>
      <w:pPr>
        <w:pStyle w:val="47"/>
        <w:ind w:firstLine="422"/>
        <w:jc w:val="center"/>
        <w:rPr>
          <w:rFonts w:ascii="黑体" w:hAnsi="黑体" w:eastAsia="黑体" w:cs="Times New Roman"/>
          <w:b/>
        </w:rPr>
      </w:pPr>
      <w:r>
        <w:rPr>
          <w:rFonts w:hint="eastAsia" w:ascii="宋体" w:hAnsi="宋体" w:eastAsia="宋体" w:cs="宋体"/>
          <w:b/>
          <w:bCs w:val="0"/>
          <w:sz w:val="20"/>
          <w:szCs w:val="20"/>
        </w:rPr>
        <w:t>表A5 稳健性检验：连续普惠金融指数</w:t>
      </w:r>
    </w:p>
    <w:tbl>
      <w:tblPr>
        <w:tblStyle w:val="1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820"/>
        <w:gridCol w:w="837"/>
        <w:gridCol w:w="846"/>
        <w:gridCol w:w="1010"/>
        <w:gridCol w:w="866"/>
        <w:gridCol w:w="865"/>
        <w:gridCol w:w="1010"/>
        <w:gridCol w:w="1011"/>
      </w:tblGrid>
      <w:tr>
        <w:trPr>
          <w:trHeight w:val="280" w:hRule="atLeast"/>
        </w:trPr>
        <w:tc>
          <w:tcPr>
            <w:tcW w:w="1251" w:type="dxa"/>
            <w:tcBorders>
              <w:top w:val="double" w:color="auto" w:sz="4" w:space="0"/>
              <w:lef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3513" w:type="dxa"/>
            <w:gridSpan w:val="4"/>
            <w:tcBorders>
              <w:top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全样本</w:t>
            </w:r>
          </w:p>
        </w:tc>
        <w:tc>
          <w:tcPr>
            <w:tcW w:w="3752" w:type="dxa"/>
            <w:gridSpan w:val="4"/>
            <w:tcBorders>
              <w:top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城商行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因变量</w:t>
            </w:r>
          </w:p>
        </w:tc>
        <w:tc>
          <w:tcPr>
            <w:tcW w:w="820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小微贷款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小微贷款市场份额</w:t>
            </w:r>
          </w:p>
        </w:tc>
        <w:tc>
          <w:tcPr>
            <w:tcW w:w="846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短期贷款(1年内)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不良贷款率</w:t>
            </w:r>
          </w:p>
        </w:tc>
        <w:tc>
          <w:tcPr>
            <w:tcW w:w="866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小微贷款</w:t>
            </w:r>
          </w:p>
        </w:tc>
        <w:tc>
          <w:tcPr>
            <w:tcW w:w="865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小微贷款市场份额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短期贷款(1年内)</w:t>
            </w:r>
          </w:p>
        </w:tc>
        <w:tc>
          <w:tcPr>
            <w:tcW w:w="1011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不良贷款率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(1)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(2)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(3)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(4)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(5)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(6)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(7)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(8)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Panel A总指数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数字化转型</w:t>
            </w:r>
          </w:p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16"/>
                  <w:szCs w:val="16"/>
                </w:rPr>
                <m:t xml:space="preserve">× </m:t>
              </m:r>
            </m:oMath>
            <w:r>
              <w:rPr>
                <w:rFonts w:hint="eastAsia" w:ascii="仿宋" w:hAnsi="仿宋" w:eastAsia="仿宋" w:cs="仿宋"/>
                <w:sz w:val="16"/>
                <w:szCs w:val="16"/>
              </w:rPr>
              <w:t>普惠金融</w:t>
            </w:r>
          </w:p>
        </w:tc>
        <w:tc>
          <w:tcPr>
            <w:tcW w:w="820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0.66</w:t>
            </w:r>
          </w:p>
        </w:tc>
        <w:tc>
          <w:tcPr>
            <w:tcW w:w="837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0.02</w:t>
            </w:r>
          </w:p>
        </w:tc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-1.73</w:t>
            </w:r>
          </w:p>
        </w:tc>
        <w:tc>
          <w:tcPr>
            <w:tcW w:w="1010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-0.24***</w:t>
            </w:r>
          </w:p>
        </w:tc>
        <w:tc>
          <w:tcPr>
            <w:tcW w:w="866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1.24</w:t>
            </w:r>
          </w:p>
        </w:tc>
        <w:tc>
          <w:tcPr>
            <w:tcW w:w="865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0.03***</w:t>
            </w:r>
          </w:p>
        </w:tc>
        <w:tc>
          <w:tcPr>
            <w:tcW w:w="1010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0.12</w:t>
            </w:r>
          </w:p>
        </w:tc>
        <w:tc>
          <w:tcPr>
            <w:tcW w:w="1011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-0.32***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(0.77)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(0.34)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(-0.61)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(-3.24)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(1.20)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(3.10)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(0.03)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(-3.69)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restart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数字化转型</w:t>
            </w:r>
            <w:r>
              <w:rPr>
                <w:rFonts w:hint="eastAsia" w:ascii="仿宋" w:hAnsi="仿宋" w:eastAsia="仿宋" w:cs="仿宋"/>
                <w:sz w:val="16"/>
                <w:szCs w:val="16"/>
                <w:vertAlign w:val="superscript"/>
              </w:rPr>
              <w:t>2</w:t>
            </w:r>
            <m:oMath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16"/>
                  <w:szCs w:val="16"/>
                </w:rPr>
                <m:t>×普惠金融</m:t>
              </m:r>
            </m:oMath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0.11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-0.01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0.82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-0.00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0.08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-0.00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0.58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-0.00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(0.28)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(-0.21)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(0.72)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(-0.13)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(0.16)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(-0.60)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(0.39)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(-0.09)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restart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数字化转型</w:t>
            </w:r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-0.07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0.02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0.49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0.22***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-0.46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0.00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-0.24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0.28***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(-0.09)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(0.45)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(0.19)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(3.93)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(-0.49)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(0.21)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(-0.08)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(4.27)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251" w:type="dxa"/>
            <w:vMerge w:val="restart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数字化转型</w:t>
            </w:r>
            <w:r>
              <w:rPr>
                <w:rFonts w:hint="eastAsia" w:ascii="仿宋" w:hAnsi="仿宋" w:eastAsia="仿宋" w:cs="仿宋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-0.17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-0.02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-1.33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0.02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-0.23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-0.01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-2.01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0.08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(-0.29)</w:t>
            </w:r>
          </w:p>
        </w:tc>
        <w:tc>
          <w:tcPr>
            <w:tcW w:w="837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(-0.46)</w:t>
            </w:r>
          </w:p>
        </w:tc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(-0.84)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(0.41)</w:t>
            </w:r>
          </w:p>
        </w:tc>
        <w:tc>
          <w:tcPr>
            <w:tcW w:w="866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(-0.31)</w:t>
            </w:r>
          </w:p>
        </w:tc>
        <w:tc>
          <w:tcPr>
            <w:tcW w:w="865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(-1.10)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(-0.96)</w:t>
            </w:r>
          </w:p>
        </w:tc>
        <w:tc>
          <w:tcPr>
            <w:tcW w:w="1011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(1.33)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观测数</w:t>
            </w:r>
          </w:p>
        </w:tc>
        <w:tc>
          <w:tcPr>
            <w:tcW w:w="82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502</w:t>
            </w:r>
          </w:p>
        </w:tc>
        <w:tc>
          <w:tcPr>
            <w:tcW w:w="837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502</w:t>
            </w:r>
          </w:p>
        </w:tc>
        <w:tc>
          <w:tcPr>
            <w:tcW w:w="846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305</w:t>
            </w:r>
          </w:p>
        </w:tc>
        <w:tc>
          <w:tcPr>
            <w:tcW w:w="101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502</w:t>
            </w:r>
          </w:p>
        </w:tc>
        <w:tc>
          <w:tcPr>
            <w:tcW w:w="866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404</w:t>
            </w:r>
          </w:p>
        </w:tc>
        <w:tc>
          <w:tcPr>
            <w:tcW w:w="865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404</w:t>
            </w:r>
          </w:p>
        </w:tc>
        <w:tc>
          <w:tcPr>
            <w:tcW w:w="101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229</w:t>
            </w:r>
          </w:p>
        </w:tc>
        <w:tc>
          <w:tcPr>
            <w:tcW w:w="1011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404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拟合优度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0.93</w:t>
            </w:r>
          </w:p>
        </w:tc>
        <w:tc>
          <w:tcPr>
            <w:tcW w:w="837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0.98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0.78</w:t>
            </w:r>
          </w:p>
        </w:tc>
        <w:tc>
          <w:tcPr>
            <w:tcW w:w="1010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0.58</w:t>
            </w:r>
          </w:p>
        </w:tc>
        <w:tc>
          <w:tcPr>
            <w:tcW w:w="866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0.90</w:t>
            </w:r>
          </w:p>
        </w:tc>
        <w:tc>
          <w:tcPr>
            <w:tcW w:w="865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0.98</w:t>
            </w:r>
          </w:p>
        </w:tc>
        <w:tc>
          <w:tcPr>
            <w:tcW w:w="1010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0.73</w:t>
            </w:r>
          </w:p>
        </w:tc>
        <w:tc>
          <w:tcPr>
            <w:tcW w:w="1011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0.57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Panel B广度子指数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数字化转型</w:t>
            </w:r>
          </w:p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16"/>
                  <w:szCs w:val="16"/>
                </w:rPr>
                <m:t xml:space="preserve">× </m:t>
              </m:r>
            </m:oMath>
            <w:r>
              <w:rPr>
                <w:rFonts w:hint="eastAsia" w:ascii="仿宋" w:hAnsi="仿宋" w:eastAsia="仿宋" w:cs="仿宋"/>
                <w:sz w:val="16"/>
                <w:szCs w:val="16"/>
              </w:rPr>
              <w:t>普惠金融</w:t>
            </w:r>
          </w:p>
        </w:tc>
        <w:tc>
          <w:tcPr>
            <w:tcW w:w="820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1.00</w:t>
            </w:r>
          </w:p>
        </w:tc>
        <w:tc>
          <w:tcPr>
            <w:tcW w:w="837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0.03</w:t>
            </w:r>
          </w:p>
        </w:tc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-0.63</w:t>
            </w:r>
          </w:p>
        </w:tc>
        <w:tc>
          <w:tcPr>
            <w:tcW w:w="1010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-0.22***</w:t>
            </w:r>
          </w:p>
        </w:tc>
        <w:tc>
          <w:tcPr>
            <w:tcW w:w="866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1.56*</w:t>
            </w:r>
          </w:p>
        </w:tc>
        <w:tc>
          <w:tcPr>
            <w:tcW w:w="865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0.03***</w:t>
            </w:r>
          </w:p>
        </w:tc>
        <w:tc>
          <w:tcPr>
            <w:tcW w:w="1010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1.43</w:t>
            </w:r>
          </w:p>
        </w:tc>
        <w:tc>
          <w:tcPr>
            <w:tcW w:w="1011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-0.28***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(1.33)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(0.64)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(-0.24)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(-3.68)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(1.66)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(3.60)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(0.44)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(-3.94)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restart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数字化转型</w:t>
            </w:r>
            <w:r>
              <w:rPr>
                <w:rFonts w:hint="eastAsia" w:ascii="仿宋" w:hAnsi="仿宋" w:eastAsia="仿宋" w:cs="仿宋"/>
                <w:sz w:val="16"/>
                <w:szCs w:val="16"/>
                <w:vertAlign w:val="superscript"/>
              </w:rPr>
              <w:t>2</w:t>
            </w:r>
            <m:oMath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16"/>
                  <w:szCs w:val="16"/>
                </w:rPr>
                <m:t>×普惠金融</m:t>
              </m:r>
            </m:oMath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0.16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-0.00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0.88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0.00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0.15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-0.00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0.64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0.01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(0.39)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(-0.17)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(0.77)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(0.11)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(0.31)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(-0.19)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(0.44)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(0.18)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restart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数字化转型</w:t>
            </w:r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-0.27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0.01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0.53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0.23***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-0.75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-0.00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-0.65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0.28***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(-0.33)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(0.27)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(0.20)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(3.90)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(-0.72)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(-0.39)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(-0.20)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(3.75)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251" w:type="dxa"/>
            <w:vMerge w:val="restart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数字化转型</w:t>
            </w:r>
            <w:r>
              <w:rPr>
                <w:rFonts w:hint="eastAsia" w:ascii="仿宋" w:hAnsi="仿宋" w:eastAsia="仿宋" w:cs="仿宋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-0.37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-0.03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-1.73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-0.00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-0.45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-0.01*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-2.52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0.04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(-0.65)</w:t>
            </w:r>
          </w:p>
        </w:tc>
        <w:tc>
          <w:tcPr>
            <w:tcW w:w="837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(-0.63)</w:t>
            </w:r>
          </w:p>
        </w:tc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(-1.10)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(-0.06)</w:t>
            </w:r>
          </w:p>
        </w:tc>
        <w:tc>
          <w:tcPr>
            <w:tcW w:w="866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(-0.58)</w:t>
            </w:r>
          </w:p>
        </w:tc>
        <w:tc>
          <w:tcPr>
            <w:tcW w:w="865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(-1.66)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(-1.23)</w:t>
            </w:r>
          </w:p>
        </w:tc>
        <w:tc>
          <w:tcPr>
            <w:tcW w:w="1011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(0.55)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观测数</w:t>
            </w:r>
          </w:p>
        </w:tc>
        <w:tc>
          <w:tcPr>
            <w:tcW w:w="82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502</w:t>
            </w:r>
          </w:p>
        </w:tc>
        <w:tc>
          <w:tcPr>
            <w:tcW w:w="837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502</w:t>
            </w:r>
          </w:p>
        </w:tc>
        <w:tc>
          <w:tcPr>
            <w:tcW w:w="846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305</w:t>
            </w:r>
          </w:p>
        </w:tc>
        <w:tc>
          <w:tcPr>
            <w:tcW w:w="101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502</w:t>
            </w:r>
          </w:p>
        </w:tc>
        <w:tc>
          <w:tcPr>
            <w:tcW w:w="866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404</w:t>
            </w:r>
          </w:p>
        </w:tc>
        <w:tc>
          <w:tcPr>
            <w:tcW w:w="865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404</w:t>
            </w:r>
          </w:p>
        </w:tc>
        <w:tc>
          <w:tcPr>
            <w:tcW w:w="101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229</w:t>
            </w:r>
          </w:p>
        </w:tc>
        <w:tc>
          <w:tcPr>
            <w:tcW w:w="1011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404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拟合优度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0.93</w:t>
            </w:r>
          </w:p>
        </w:tc>
        <w:tc>
          <w:tcPr>
            <w:tcW w:w="837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0.98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0.78</w:t>
            </w:r>
          </w:p>
        </w:tc>
        <w:tc>
          <w:tcPr>
            <w:tcW w:w="1010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0.58</w:t>
            </w:r>
          </w:p>
        </w:tc>
        <w:tc>
          <w:tcPr>
            <w:tcW w:w="866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0.90</w:t>
            </w:r>
          </w:p>
        </w:tc>
        <w:tc>
          <w:tcPr>
            <w:tcW w:w="865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0.98</w:t>
            </w:r>
          </w:p>
        </w:tc>
        <w:tc>
          <w:tcPr>
            <w:tcW w:w="1010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0.74</w:t>
            </w:r>
          </w:p>
        </w:tc>
        <w:tc>
          <w:tcPr>
            <w:tcW w:w="1011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0.57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Panel C深度子指数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5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数字化转型</w:t>
            </w:r>
          </w:p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16"/>
                  <w:szCs w:val="16"/>
                </w:rPr>
                <m:t xml:space="preserve">× </m:t>
              </m:r>
            </m:oMath>
            <w:r>
              <w:rPr>
                <w:rFonts w:hint="eastAsia" w:ascii="仿宋" w:hAnsi="仿宋" w:eastAsia="仿宋" w:cs="仿宋"/>
                <w:sz w:val="16"/>
                <w:szCs w:val="16"/>
              </w:rPr>
              <w:t>普惠金融</w:t>
            </w:r>
          </w:p>
        </w:tc>
        <w:tc>
          <w:tcPr>
            <w:tcW w:w="820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-0.26</w:t>
            </w:r>
          </w:p>
        </w:tc>
        <w:tc>
          <w:tcPr>
            <w:tcW w:w="837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0.00</w:t>
            </w:r>
          </w:p>
        </w:tc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-0.43</w:t>
            </w:r>
          </w:p>
        </w:tc>
        <w:tc>
          <w:tcPr>
            <w:tcW w:w="1010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-0.20***</w:t>
            </w:r>
          </w:p>
        </w:tc>
        <w:tc>
          <w:tcPr>
            <w:tcW w:w="866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0.14</w:t>
            </w:r>
          </w:p>
        </w:tc>
        <w:tc>
          <w:tcPr>
            <w:tcW w:w="865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0.02***</w:t>
            </w:r>
          </w:p>
        </w:tc>
        <w:tc>
          <w:tcPr>
            <w:tcW w:w="1010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0.83</w:t>
            </w:r>
          </w:p>
        </w:tc>
        <w:tc>
          <w:tcPr>
            <w:tcW w:w="1011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-0.27***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(-0.33)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(0.04)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(-0.18)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(-2.83)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(0.14)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(2.61)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(0.30)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(-3.37)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restart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数字化转型</w:t>
            </w:r>
            <w:r>
              <w:rPr>
                <w:rFonts w:hint="eastAsia" w:ascii="仿宋" w:hAnsi="仿宋" w:eastAsia="仿宋" w:cs="仿宋"/>
                <w:sz w:val="16"/>
                <w:szCs w:val="16"/>
                <w:vertAlign w:val="superscript"/>
              </w:rPr>
              <w:t>2</w:t>
            </w:r>
            <m:oMath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16"/>
                  <w:szCs w:val="16"/>
                </w:rPr>
                <m:t>×普惠金融</m:t>
              </m:r>
            </m:oMath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0.09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-0.00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0.44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0.02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0.02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-0.01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0.20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0.03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(0.24)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(-0.12)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(0.42)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(0.63)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(0.04)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(-1.42)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(0.14)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(0.74)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restart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数字化转型</w:t>
            </w:r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0.11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0.02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0.22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0.16***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-0.06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0.01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-0.01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0.19***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(0.13)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(0.67)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(0.08)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(2.75)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(-0.07)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(1.32)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(-0.00)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(3.05)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251" w:type="dxa"/>
            <w:vMerge w:val="restart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数字化转型</w:t>
            </w:r>
            <w:r>
              <w:rPr>
                <w:rFonts w:hint="eastAsia" w:ascii="仿宋" w:hAnsi="仿宋" w:eastAsia="仿宋" w:cs="仿宋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0.17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-0.02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-1.23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-0.02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0.24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-0.00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-1.76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0.03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(0.35)</w:t>
            </w:r>
          </w:p>
        </w:tc>
        <w:tc>
          <w:tcPr>
            <w:tcW w:w="837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(-0.43)</w:t>
            </w:r>
          </w:p>
        </w:tc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(-0.93)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(-0.46)</w:t>
            </w:r>
          </w:p>
        </w:tc>
        <w:tc>
          <w:tcPr>
            <w:tcW w:w="866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(0.38)</w:t>
            </w:r>
          </w:p>
        </w:tc>
        <w:tc>
          <w:tcPr>
            <w:tcW w:w="865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(-0.10)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(-1.04)</w:t>
            </w:r>
          </w:p>
        </w:tc>
        <w:tc>
          <w:tcPr>
            <w:tcW w:w="1011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(0.63)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观测数</w:t>
            </w:r>
          </w:p>
        </w:tc>
        <w:tc>
          <w:tcPr>
            <w:tcW w:w="82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502</w:t>
            </w:r>
          </w:p>
        </w:tc>
        <w:tc>
          <w:tcPr>
            <w:tcW w:w="837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502</w:t>
            </w:r>
          </w:p>
        </w:tc>
        <w:tc>
          <w:tcPr>
            <w:tcW w:w="846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305</w:t>
            </w:r>
          </w:p>
        </w:tc>
        <w:tc>
          <w:tcPr>
            <w:tcW w:w="101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502</w:t>
            </w:r>
          </w:p>
        </w:tc>
        <w:tc>
          <w:tcPr>
            <w:tcW w:w="866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404</w:t>
            </w:r>
          </w:p>
        </w:tc>
        <w:tc>
          <w:tcPr>
            <w:tcW w:w="865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404</w:t>
            </w:r>
          </w:p>
        </w:tc>
        <w:tc>
          <w:tcPr>
            <w:tcW w:w="101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229</w:t>
            </w:r>
          </w:p>
        </w:tc>
        <w:tc>
          <w:tcPr>
            <w:tcW w:w="1011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404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拟合优度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0.93</w:t>
            </w:r>
          </w:p>
        </w:tc>
        <w:tc>
          <w:tcPr>
            <w:tcW w:w="837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0.98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0.78</w:t>
            </w:r>
          </w:p>
        </w:tc>
        <w:tc>
          <w:tcPr>
            <w:tcW w:w="1010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0.58</w:t>
            </w:r>
          </w:p>
        </w:tc>
        <w:tc>
          <w:tcPr>
            <w:tcW w:w="866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0.90</w:t>
            </w:r>
          </w:p>
        </w:tc>
        <w:tc>
          <w:tcPr>
            <w:tcW w:w="865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0.98</w:t>
            </w:r>
          </w:p>
        </w:tc>
        <w:tc>
          <w:tcPr>
            <w:tcW w:w="1010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0.73</w:t>
            </w:r>
          </w:p>
        </w:tc>
        <w:tc>
          <w:tcPr>
            <w:tcW w:w="1011" w:type="dxa"/>
            <w:tcBorders>
              <w:top w:val="nil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0.57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Panel D 数字化子指数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数字化转型</w:t>
            </w:r>
          </w:p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16"/>
                  <w:szCs w:val="16"/>
                </w:rPr>
                <m:t xml:space="preserve">× </m:t>
              </m:r>
            </m:oMath>
            <w:r>
              <w:rPr>
                <w:rFonts w:hint="eastAsia" w:ascii="仿宋" w:hAnsi="仿宋" w:eastAsia="仿宋" w:cs="仿宋"/>
                <w:sz w:val="16"/>
                <w:szCs w:val="16"/>
              </w:rPr>
              <w:t>普惠金融</w:t>
            </w:r>
          </w:p>
        </w:tc>
        <w:tc>
          <w:tcPr>
            <w:tcW w:w="820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0.01</w:t>
            </w:r>
          </w:p>
        </w:tc>
        <w:tc>
          <w:tcPr>
            <w:tcW w:w="837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-0.01</w:t>
            </w:r>
          </w:p>
        </w:tc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-5.66**</w:t>
            </w:r>
          </w:p>
        </w:tc>
        <w:tc>
          <w:tcPr>
            <w:tcW w:w="1010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-0.12</w:t>
            </w:r>
          </w:p>
        </w:tc>
        <w:tc>
          <w:tcPr>
            <w:tcW w:w="866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0.26</w:t>
            </w:r>
          </w:p>
        </w:tc>
        <w:tc>
          <w:tcPr>
            <w:tcW w:w="865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0.01*</w:t>
            </w:r>
          </w:p>
        </w:tc>
        <w:tc>
          <w:tcPr>
            <w:tcW w:w="1010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-5.84</w:t>
            </w:r>
          </w:p>
        </w:tc>
        <w:tc>
          <w:tcPr>
            <w:tcW w:w="1011" w:type="dxa"/>
            <w:tcBorders>
              <w:top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-0.16*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(0.01)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(-0.17)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(-2.00)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(-1.56)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(0.32)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(1.73)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(-1.60)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(-1.79)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restart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数字化转型</w:t>
            </w:r>
            <w:r>
              <w:rPr>
                <w:rFonts w:hint="eastAsia" w:ascii="仿宋" w:hAnsi="仿宋" w:eastAsia="仿宋" w:cs="仿宋"/>
                <w:sz w:val="16"/>
                <w:szCs w:val="16"/>
                <w:vertAlign w:val="superscript"/>
              </w:rPr>
              <w:t>2</w:t>
            </w:r>
            <m:oMath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16"/>
                  <w:szCs w:val="16"/>
                </w:rPr>
                <m:t>×普惠金融</m:t>
              </m:r>
            </m:oMath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0.02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-0.02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1.21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-0.04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-0.12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-0.00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0.91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-0.04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(0.04)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(-0.48)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(0.97)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(-1.25)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(-0.23)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(-0.98)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(0.55)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(-1.03)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restart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数字化转型</w:t>
            </w:r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0.11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0.03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1.85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0.20***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-0.04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0.01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2.17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0.23***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(0.14)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(0.73)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(0.80)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(3.67)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(-0.05)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(0.94)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(0.81)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(3.60)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251" w:type="dxa"/>
            <w:vMerge w:val="restart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数字化转型</w:t>
            </w:r>
            <w:r>
              <w:rPr>
                <w:rFonts w:hint="eastAsia" w:ascii="仿宋" w:hAnsi="仿宋" w:eastAsia="仿宋" w:cs="仿宋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2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0.21</w:t>
            </w:r>
          </w:p>
        </w:tc>
        <w:tc>
          <w:tcPr>
            <w:tcW w:w="837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-0.00</w:t>
            </w:r>
          </w:p>
        </w:tc>
        <w:tc>
          <w:tcPr>
            <w:tcW w:w="84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-0.60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-0.02</w:t>
            </w:r>
          </w:p>
        </w:tc>
        <w:tc>
          <w:tcPr>
            <w:tcW w:w="866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0.44</w:t>
            </w:r>
          </w:p>
        </w:tc>
        <w:tc>
          <w:tcPr>
            <w:tcW w:w="865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0.00</w:t>
            </w:r>
          </w:p>
        </w:tc>
        <w:tc>
          <w:tcPr>
            <w:tcW w:w="1010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-0.42</w:t>
            </w:r>
          </w:p>
        </w:tc>
        <w:tc>
          <w:tcPr>
            <w:tcW w:w="1011" w:type="dxa"/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0.01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(0.38)</w:t>
            </w:r>
          </w:p>
        </w:tc>
        <w:tc>
          <w:tcPr>
            <w:tcW w:w="837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(-0.09)</w:t>
            </w:r>
          </w:p>
        </w:tc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(-0.37)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(-0.35)</w:t>
            </w:r>
          </w:p>
        </w:tc>
        <w:tc>
          <w:tcPr>
            <w:tcW w:w="866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(0.70)</w:t>
            </w:r>
          </w:p>
        </w:tc>
        <w:tc>
          <w:tcPr>
            <w:tcW w:w="865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(0.56)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(-0.21)</w:t>
            </w:r>
          </w:p>
        </w:tc>
        <w:tc>
          <w:tcPr>
            <w:tcW w:w="1011" w:type="dxa"/>
            <w:tcBorders>
              <w:bottom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(0.19)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观测数</w:t>
            </w:r>
          </w:p>
        </w:tc>
        <w:tc>
          <w:tcPr>
            <w:tcW w:w="82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502</w:t>
            </w:r>
          </w:p>
        </w:tc>
        <w:tc>
          <w:tcPr>
            <w:tcW w:w="837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502</w:t>
            </w:r>
          </w:p>
        </w:tc>
        <w:tc>
          <w:tcPr>
            <w:tcW w:w="846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305</w:t>
            </w:r>
          </w:p>
        </w:tc>
        <w:tc>
          <w:tcPr>
            <w:tcW w:w="101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502</w:t>
            </w:r>
          </w:p>
        </w:tc>
        <w:tc>
          <w:tcPr>
            <w:tcW w:w="866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404</w:t>
            </w:r>
          </w:p>
        </w:tc>
        <w:tc>
          <w:tcPr>
            <w:tcW w:w="865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404</w:t>
            </w:r>
          </w:p>
        </w:tc>
        <w:tc>
          <w:tcPr>
            <w:tcW w:w="101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229</w:t>
            </w:r>
          </w:p>
        </w:tc>
        <w:tc>
          <w:tcPr>
            <w:tcW w:w="1011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404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tcBorders>
              <w:top w:val="nil"/>
              <w:bottom w:val="doub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拟合优度</w:t>
            </w:r>
          </w:p>
        </w:tc>
        <w:tc>
          <w:tcPr>
            <w:tcW w:w="820" w:type="dxa"/>
            <w:tcBorders>
              <w:top w:val="nil"/>
              <w:bottom w:val="doub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0.93</w:t>
            </w:r>
          </w:p>
        </w:tc>
        <w:tc>
          <w:tcPr>
            <w:tcW w:w="837" w:type="dxa"/>
            <w:tcBorders>
              <w:top w:val="nil"/>
              <w:bottom w:val="doub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0.98</w:t>
            </w:r>
          </w:p>
        </w:tc>
        <w:tc>
          <w:tcPr>
            <w:tcW w:w="846" w:type="dxa"/>
            <w:tcBorders>
              <w:top w:val="nil"/>
              <w:bottom w:val="doub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0.79</w:t>
            </w:r>
          </w:p>
        </w:tc>
        <w:tc>
          <w:tcPr>
            <w:tcW w:w="1010" w:type="dxa"/>
            <w:tcBorders>
              <w:top w:val="nil"/>
              <w:bottom w:val="doub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0.58</w:t>
            </w:r>
          </w:p>
        </w:tc>
        <w:tc>
          <w:tcPr>
            <w:tcW w:w="866" w:type="dxa"/>
            <w:tcBorders>
              <w:top w:val="nil"/>
              <w:bottom w:val="doub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0.90</w:t>
            </w:r>
          </w:p>
        </w:tc>
        <w:tc>
          <w:tcPr>
            <w:tcW w:w="865" w:type="dxa"/>
            <w:tcBorders>
              <w:top w:val="nil"/>
              <w:bottom w:val="doub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0.98</w:t>
            </w:r>
          </w:p>
        </w:tc>
        <w:tc>
          <w:tcPr>
            <w:tcW w:w="1010" w:type="dxa"/>
            <w:tcBorders>
              <w:top w:val="nil"/>
              <w:bottom w:val="doub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0.75</w:t>
            </w:r>
          </w:p>
        </w:tc>
        <w:tc>
          <w:tcPr>
            <w:tcW w:w="1011" w:type="dxa"/>
            <w:tcBorders>
              <w:top w:val="nil"/>
              <w:bottom w:val="double" w:color="auto" w:sz="4" w:space="0"/>
            </w:tcBorders>
            <w:vAlign w:val="center"/>
          </w:tcPr>
          <w:p>
            <w:pPr>
              <w:pStyle w:val="57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0.56</w:t>
            </w:r>
          </w:p>
        </w:tc>
      </w:tr>
    </w:tbl>
    <w:p>
      <w:pPr>
        <w:pStyle w:val="47"/>
        <w:ind w:firstLine="360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注：括号内为</w:t>
      </w:r>
      <w:r>
        <w:rPr>
          <w:rFonts w:hint="eastAsia" w:ascii="仿宋" w:hAnsi="仿宋" w:eastAsia="仿宋" w:cs="仿宋"/>
          <w:i/>
          <w:iCs/>
          <w:sz w:val="18"/>
          <w:szCs w:val="18"/>
        </w:rPr>
        <w:t>t</w:t>
      </w:r>
      <w:r>
        <w:rPr>
          <w:rFonts w:hint="eastAsia" w:ascii="仿宋" w:hAnsi="仿宋" w:eastAsia="仿宋" w:cs="仿宋"/>
          <w:sz w:val="18"/>
          <w:szCs w:val="18"/>
        </w:rPr>
        <w:t>值。数字化转型指数取标准化并滞后一期。除小微贷款市场份额外，各因变量均为贷款占总贷款和垫款的比重。普惠金融为银行总部所在城市八年地区数字普惠金融指数的平均值，表中省略普惠金融的主效应。控制变量包括银行总资产(对数）、流动性比例、成本收入比、资本充足率、银行所在省的人均GDP（对数）、人均GDP增长速度，以及银行和年份固定效应和银行类型特定的线性时间趋势。标准误为异方差稳健标准误。***、**、*表示在1%、5%和10%的水平上显著。</w:t>
      </w:r>
    </w:p>
    <w:p>
      <w:pPr>
        <w:widowControl/>
        <w:spacing w:line="240" w:lineRule="auto"/>
        <w:jc w:val="left"/>
      </w:pPr>
      <w:r>
        <w:br w:type="page"/>
      </w:r>
    </w:p>
    <w:p>
      <w:pPr>
        <w:pStyle w:val="47"/>
        <w:ind w:firstLine="422"/>
        <w:jc w:val="center"/>
        <w:rPr>
          <w:rFonts w:ascii="黑体" w:hAnsi="黑体" w:eastAsia="黑体" w:cs="Times New Roman"/>
          <w:b/>
        </w:rPr>
      </w:pPr>
      <w:r>
        <w:rPr>
          <w:rFonts w:hint="eastAsia" w:ascii="宋体" w:hAnsi="宋体" w:eastAsia="宋体" w:cs="宋体"/>
          <w:b/>
          <w:bCs w:val="0"/>
          <w:sz w:val="20"/>
          <w:szCs w:val="20"/>
        </w:rPr>
        <w:t>表A6 稳健性检验：地区异质性的替代解释</w:t>
      </w:r>
    </w:p>
    <w:tbl>
      <w:tblPr>
        <w:tblStyle w:val="1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752"/>
        <w:gridCol w:w="905"/>
        <w:gridCol w:w="904"/>
        <w:gridCol w:w="904"/>
        <w:gridCol w:w="904"/>
        <w:gridCol w:w="904"/>
        <w:gridCol w:w="904"/>
        <w:gridCol w:w="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36" w:type="dxa"/>
            <w:tcBorders>
              <w:top w:val="double" w:color="auto" w:sz="4" w:space="0"/>
              <w:left w:val="nil"/>
            </w:tcBorders>
            <w:shd w:val="clear" w:color="auto" w:fill="auto"/>
            <w:noWrap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因变量</w:t>
            </w:r>
          </w:p>
        </w:tc>
        <w:tc>
          <w:tcPr>
            <w:tcW w:w="3465" w:type="dxa"/>
            <w:gridSpan w:val="4"/>
            <w:tcBorders>
              <w:top w:val="double" w:color="auto" w:sz="4" w:space="0"/>
            </w:tcBorders>
            <w:shd w:val="clear" w:color="auto" w:fill="auto"/>
            <w:noWrap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小微贷款</w:t>
            </w:r>
          </w:p>
        </w:tc>
        <w:tc>
          <w:tcPr>
            <w:tcW w:w="3616" w:type="dxa"/>
            <w:gridSpan w:val="4"/>
            <w:tcBorders>
              <w:top w:val="double" w:color="auto" w:sz="4" w:space="0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不良贷款率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tcBorders>
              <w:top w:val="nil"/>
              <w:bottom w:val="single" w:color="auto" w:sz="4" w:space="0"/>
              <w:right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Merge w:val="restart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数字化转型</w:t>
            </w:r>
          </w:p>
        </w:tc>
        <w:tc>
          <w:tcPr>
            <w:tcW w:w="752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  <w:tc>
          <w:tcPr>
            <w:tcW w:w="905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0.22***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0.29***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0.50***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0.52***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Merge w:val="continue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(-0.62)</w:t>
            </w:r>
          </w:p>
        </w:tc>
        <w:tc>
          <w:tcPr>
            <w:tcW w:w="905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(-0.32)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(1.55)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(1.33)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(3.17)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(3.39)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(3.57)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(3.61)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436" w:type="dxa"/>
            <w:vMerge w:val="restart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数字化转型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52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0.80*</w:t>
            </w:r>
          </w:p>
        </w:tc>
        <w:tc>
          <w:tcPr>
            <w:tcW w:w="905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-0.12***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-0.13***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-0.21***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-0.22***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Merge w:val="continue"/>
            <w:tcBorders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(1.75)</w:t>
            </w:r>
          </w:p>
        </w:tc>
        <w:tc>
          <w:tcPr>
            <w:tcW w:w="905" w:type="dxa"/>
            <w:tcBorders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(1.00)</w:t>
            </w:r>
          </w:p>
        </w:tc>
        <w:tc>
          <w:tcPr>
            <w:tcW w:w="904" w:type="dxa"/>
            <w:tcBorders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(1.04)</w:t>
            </w:r>
          </w:p>
        </w:tc>
        <w:tc>
          <w:tcPr>
            <w:tcW w:w="904" w:type="dxa"/>
            <w:tcBorders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(1.14)</w:t>
            </w:r>
          </w:p>
        </w:tc>
        <w:tc>
          <w:tcPr>
            <w:tcW w:w="904" w:type="dxa"/>
            <w:tcBorders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(-2.71)</w:t>
            </w:r>
          </w:p>
        </w:tc>
        <w:tc>
          <w:tcPr>
            <w:tcW w:w="904" w:type="dxa"/>
            <w:tcBorders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(-2.98)</w:t>
            </w:r>
          </w:p>
        </w:tc>
        <w:tc>
          <w:tcPr>
            <w:tcW w:w="904" w:type="dxa"/>
            <w:tcBorders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(-2.76)</w:t>
            </w:r>
          </w:p>
        </w:tc>
        <w:tc>
          <w:tcPr>
            <w:tcW w:w="904" w:type="dxa"/>
            <w:tcBorders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(-2.90)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Merge w:val="restart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数字化转型</w:t>
            </w:r>
          </w:p>
          <w:p>
            <w:pPr>
              <w:pStyle w:val="57"/>
              <w:rPr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× </m:t>
              </m:r>
            </m:oMath>
            <w:r>
              <w:rPr>
                <w:rFonts w:hint="eastAsia"/>
                <w:sz w:val="18"/>
                <w:szCs w:val="18"/>
              </w:rPr>
              <w:t>高普惠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2.05**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1.99**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2.87**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2.46**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-0.16*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Merge w:val="continue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(2.07)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(2.06)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(2.58)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(2.32)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(-1.88)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(-1.23)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(-0.86)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(-0.95)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Merge w:val="restart"/>
            <w:tcBorders>
              <w:top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数字化转型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× </m:t>
              </m:r>
            </m:oMath>
            <w:r>
              <w:rPr>
                <w:rFonts w:hint="eastAsia"/>
                <w:sz w:val="18"/>
                <w:szCs w:val="18"/>
              </w:rPr>
              <w:t>高普惠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-1.32**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-1.56**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-1.73***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-1.66**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Merge w:val="continue"/>
            <w:tcBorders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(-2.15)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(-2.47)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(-2.60)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(-2.46)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(1.38)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(1.25)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(0.58)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(0.66)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Merge w:val="restart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数字化转型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×</m:t>
              </m:r>
            </m:oMath>
            <w:r>
              <w:rPr>
                <w:rFonts w:hint="eastAsia"/>
                <w:sz w:val="18"/>
                <w:szCs w:val="18"/>
              </w:rPr>
              <w:t>全国行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-0.29*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-0.28*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Merge w:val="continue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(0.02)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(0.09)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(-1.73)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(-1.66)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Merge w:val="restart"/>
            <w:tcBorders>
              <w:top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数字化转型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× </m:t>
              </m:r>
              <m:r>
                <m:rPr>
                  <m:sty m:val="p"/>
                </m:rPr>
                <w:rPr>
                  <w:rFonts w:hint="eastAsia" w:ascii="Cambria Math" w:hAnsi="Cambria Math"/>
                  <w:sz w:val="18"/>
                  <w:szCs w:val="18"/>
                </w:rPr>
                <m:t>全国行</m:t>
              </m:r>
            </m:oMath>
          </w:p>
        </w:tc>
        <w:tc>
          <w:tcPr>
            <w:tcW w:w="752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-1.39*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-1.44*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Merge w:val="continue"/>
            <w:tcBorders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(-1.67)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(-1.66)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(0.83)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(0.81)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Merge w:val="restart"/>
            <w:tcBorders>
              <w:top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数字化转型</w:t>
            </w:r>
          </w:p>
          <w:p>
            <w:pPr>
              <w:pStyle w:val="57"/>
              <w:rPr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× </m:t>
              </m:r>
            </m:oMath>
            <w:r>
              <w:rPr>
                <w:rFonts w:hint="eastAsia"/>
                <w:sz w:val="18"/>
                <w:szCs w:val="18"/>
              </w:rPr>
              <w:t>东部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-4.18***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-7.94***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-0.48**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Merge w:val="continue"/>
            <w:tcBorders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(-3.63)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(-4.39)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(-2.38)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(-1.35)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Merge w:val="restart"/>
            <w:tcBorders>
              <w:top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数字化转型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× </m:t>
              </m:r>
            </m:oMath>
            <w:r>
              <w:rPr>
                <w:rFonts w:hint="eastAsia"/>
                <w:sz w:val="18"/>
                <w:szCs w:val="18"/>
              </w:rPr>
              <w:t>东部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-1.01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0.64*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Merge w:val="continue"/>
            <w:tcBorders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(1.61)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(-0.32)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(1.36)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(1.66)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Merge w:val="restart"/>
            <w:tcBorders>
              <w:top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数字化转型</w:t>
            </w:r>
          </w:p>
          <w:p>
            <w:pPr>
              <w:pStyle w:val="57"/>
              <w:rPr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× </m:t>
              </m:r>
            </m:oMath>
            <w:r>
              <w:rPr>
                <w:rFonts w:hint="eastAsia"/>
                <w:sz w:val="18"/>
                <w:szCs w:val="18"/>
              </w:rPr>
              <w:t>中部</w:t>
            </w:r>
          </w:p>
        </w:tc>
        <w:tc>
          <w:tcPr>
            <w:tcW w:w="752" w:type="dxa"/>
            <w:tcBorders>
              <w:top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-3.18*</w:t>
            </w: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-2.63</w:t>
            </w: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-0.22</w:t>
            </w: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Merge w:val="continue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(-1.89)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(-1.54)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(-1.24)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(-1.51)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Merge w:val="restart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数字化转型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× </m:t>
              </m:r>
            </m:oMath>
            <w:r>
              <w:rPr>
                <w:rFonts w:hint="eastAsia"/>
                <w:sz w:val="18"/>
                <w:szCs w:val="18"/>
              </w:rPr>
              <w:t>中部</w:t>
            </w:r>
          </w:p>
        </w:tc>
        <w:tc>
          <w:tcPr>
            <w:tcW w:w="752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Merge w:val="continue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(-0.56)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(-0.56)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(1.12)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(1.58)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Merge w:val="restart"/>
            <w:tcBorders>
              <w:top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数字化转型</w:t>
            </w:r>
          </w:p>
          <w:p>
            <w:pPr>
              <w:pStyle w:val="57"/>
              <w:rPr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× </m:t>
              </m:r>
            </m:oMath>
            <w:r>
              <w:rPr>
                <w:rFonts w:hint="eastAsia"/>
                <w:sz w:val="18"/>
                <w:szCs w:val="18"/>
              </w:rPr>
              <w:t>高人均GDP</w:t>
            </w:r>
          </w:p>
        </w:tc>
        <w:tc>
          <w:tcPr>
            <w:tcW w:w="752" w:type="dxa"/>
            <w:tcBorders>
              <w:top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5.02***</w:t>
            </w: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-0.24***</w:t>
            </w: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Merge w:val="continue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(-0.13)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(2.89)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(-2.68)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(-0.84)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Merge w:val="restart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数字化转型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×</m:t>
              </m:r>
            </m:oMath>
            <w:r>
              <w:rPr>
                <w:rFonts w:hint="eastAsia"/>
                <w:sz w:val="18"/>
                <w:szCs w:val="18"/>
              </w:rPr>
              <w:t>高人均GDP</w:t>
            </w:r>
          </w:p>
        </w:tc>
        <w:tc>
          <w:tcPr>
            <w:tcW w:w="752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1.41**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Merge w:val="continue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(2.22)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(0.68)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(-0.25)</w:t>
            </w: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(-1.35)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tcBorders>
              <w:top w:val="single" w:color="auto" w:sz="4" w:space="0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观测数</w:t>
            </w:r>
          </w:p>
        </w:tc>
        <w:tc>
          <w:tcPr>
            <w:tcW w:w="752" w:type="dxa"/>
            <w:tcBorders>
              <w:top w:val="single" w:color="auto" w:sz="4" w:space="0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905" w:type="dxa"/>
            <w:tcBorders>
              <w:top w:val="single" w:color="auto" w:sz="4" w:space="0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904" w:type="dxa"/>
            <w:tcBorders>
              <w:top w:val="single" w:color="auto" w:sz="4" w:space="0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904" w:type="dxa"/>
            <w:tcBorders>
              <w:top w:val="single" w:color="auto" w:sz="4" w:space="0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904" w:type="dxa"/>
            <w:tcBorders>
              <w:top w:val="single" w:color="auto" w:sz="4" w:space="0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904" w:type="dxa"/>
            <w:tcBorders>
              <w:top w:val="single" w:color="auto" w:sz="4" w:space="0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904" w:type="dxa"/>
            <w:tcBorders>
              <w:top w:val="single" w:color="auto" w:sz="4" w:space="0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904" w:type="dxa"/>
            <w:tcBorders>
              <w:top w:val="single" w:color="auto" w:sz="4" w:space="0"/>
              <w:bottom w:val="nil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tcBorders>
              <w:top w:val="nil"/>
              <w:bottom w:val="double" w:color="auto" w:sz="4" w:space="0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拟合优度</w:t>
            </w:r>
          </w:p>
        </w:tc>
        <w:tc>
          <w:tcPr>
            <w:tcW w:w="752" w:type="dxa"/>
            <w:tcBorders>
              <w:top w:val="nil"/>
              <w:bottom w:val="double" w:color="auto" w:sz="4" w:space="0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905" w:type="dxa"/>
            <w:tcBorders>
              <w:top w:val="nil"/>
              <w:bottom w:val="double" w:color="auto" w:sz="4" w:space="0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904" w:type="dxa"/>
            <w:tcBorders>
              <w:top w:val="nil"/>
              <w:bottom w:val="double" w:color="auto" w:sz="4" w:space="0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904" w:type="dxa"/>
            <w:tcBorders>
              <w:top w:val="nil"/>
              <w:bottom w:val="double" w:color="auto" w:sz="4" w:space="0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904" w:type="dxa"/>
            <w:tcBorders>
              <w:top w:val="nil"/>
              <w:bottom w:val="double" w:color="auto" w:sz="4" w:space="0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904" w:type="dxa"/>
            <w:tcBorders>
              <w:top w:val="nil"/>
              <w:bottom w:val="double" w:color="auto" w:sz="4" w:space="0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904" w:type="dxa"/>
            <w:tcBorders>
              <w:top w:val="nil"/>
              <w:bottom w:val="double" w:color="auto" w:sz="4" w:space="0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04" w:type="dxa"/>
            <w:tcBorders>
              <w:top w:val="nil"/>
              <w:bottom w:val="double" w:color="auto" w:sz="4" w:space="0"/>
            </w:tcBorders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</w:tr>
    </w:tbl>
    <w:p>
      <w:pPr>
        <w:pStyle w:val="47"/>
        <w:ind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注：括号内为</w:t>
      </w:r>
      <w:r>
        <w:rPr>
          <w:i/>
          <w:iCs/>
          <w:sz w:val="18"/>
          <w:szCs w:val="18"/>
        </w:rPr>
        <w:t>t</w:t>
      </w:r>
      <w:r>
        <w:rPr>
          <w:rFonts w:hint="eastAsia"/>
          <w:sz w:val="18"/>
          <w:szCs w:val="18"/>
        </w:rPr>
        <w:t>值。数字化转型指数取标准化并滞后一期。各因变量均为贷款占总贷款和垫款的比重。东中西部按国家统</w:t>
      </w:r>
      <w:bookmarkStart w:id="0" w:name="_GoBack"/>
      <w:bookmarkEnd w:id="0"/>
      <w:r>
        <w:rPr>
          <w:rFonts w:hint="eastAsia"/>
          <w:sz w:val="18"/>
          <w:szCs w:val="18"/>
        </w:rPr>
        <w:t>计局标准分组。高低人均GDP以人均GDP的中位数为界。控制变量包括银行总资产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对数）、流动性比例、成本收入比、资本充足率、银行所在省的人均</w:t>
      </w:r>
      <w:r>
        <w:rPr>
          <w:sz w:val="18"/>
          <w:szCs w:val="18"/>
        </w:rPr>
        <w:t>GDP</w:t>
      </w:r>
      <w:r>
        <w:rPr>
          <w:rFonts w:hint="eastAsia"/>
          <w:sz w:val="18"/>
          <w:szCs w:val="18"/>
        </w:rPr>
        <w:t>（对数）、人均</w:t>
      </w:r>
      <w:r>
        <w:rPr>
          <w:sz w:val="18"/>
          <w:szCs w:val="18"/>
        </w:rPr>
        <w:t>GDP</w:t>
      </w:r>
      <w:r>
        <w:rPr>
          <w:rFonts w:hint="eastAsia"/>
          <w:sz w:val="18"/>
          <w:szCs w:val="18"/>
        </w:rPr>
        <w:t>增长速度，以及银行和年份固定效应和银行类型特定的线性时间趋势。标准误为异方差稳健标准误。</w:t>
      </w:r>
      <w:r>
        <w:rPr>
          <w:sz w:val="18"/>
          <w:szCs w:val="18"/>
        </w:rPr>
        <w:t>***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**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表示在</w:t>
      </w:r>
      <w:r>
        <w:rPr>
          <w:sz w:val="18"/>
          <w:szCs w:val="18"/>
        </w:rPr>
        <w:t>1%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5%</w:t>
      </w:r>
      <w:r>
        <w:rPr>
          <w:rFonts w:hint="eastAsia"/>
          <w:sz w:val="18"/>
          <w:szCs w:val="18"/>
        </w:rPr>
        <w:t>和</w:t>
      </w:r>
      <w:r>
        <w:rPr>
          <w:sz w:val="18"/>
          <w:szCs w:val="18"/>
        </w:rPr>
        <w:t>10%</w:t>
      </w:r>
      <w:r>
        <w:rPr>
          <w:rFonts w:hint="eastAsia"/>
          <w:sz w:val="18"/>
          <w:szCs w:val="18"/>
        </w:rPr>
        <w:t>的水平上显著。</w:t>
      </w:r>
    </w:p>
    <w:p>
      <w:pPr>
        <w:widowControl/>
        <w:spacing w:line="240" w:lineRule="auto"/>
        <w:jc w:val="left"/>
      </w:pPr>
      <w:r>
        <w:br w:type="page"/>
      </w:r>
    </w:p>
    <w:p>
      <w:pPr>
        <w:pStyle w:val="47"/>
        <w:ind w:firstLine="422"/>
        <w:jc w:val="center"/>
        <w:rPr>
          <w:rFonts w:ascii="黑体" w:hAnsi="黑体" w:eastAsia="黑体" w:cs="Times New Roman"/>
          <w:b/>
        </w:rPr>
      </w:pPr>
      <w:r>
        <w:rPr>
          <w:rFonts w:hint="eastAsia" w:ascii="宋体" w:hAnsi="宋体" w:eastAsia="宋体" w:cs="宋体"/>
          <w:b/>
          <w:bCs w:val="0"/>
          <w:sz w:val="20"/>
          <w:szCs w:val="20"/>
        </w:rPr>
        <w:t>表A7 稳健性检验：数字化转型指数滞后两期</w:t>
      </w:r>
    </w:p>
    <w:tbl>
      <w:tblPr>
        <w:tblStyle w:val="1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732"/>
        <w:gridCol w:w="844"/>
        <w:gridCol w:w="1157"/>
        <w:gridCol w:w="892"/>
        <w:gridCol w:w="48"/>
        <w:gridCol w:w="824"/>
        <w:gridCol w:w="823"/>
        <w:gridCol w:w="1043"/>
        <w:gridCol w:w="934"/>
        <w:gridCol w:w="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atLeast"/>
        </w:trPr>
        <w:tc>
          <w:tcPr>
            <w:tcW w:w="1165" w:type="dxa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3535" w:type="dxa"/>
            <w:gridSpan w:val="4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全样本</w:t>
            </w:r>
          </w:p>
        </w:tc>
        <w:tc>
          <w:tcPr>
            <w:tcW w:w="3582" w:type="dxa"/>
            <w:gridSpan w:val="5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城商行</w:t>
            </w:r>
          </w:p>
        </w:tc>
      </w:tr>
      <w:tr>
        <w:trPr>
          <w:trHeight w:val="32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因变量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小微贷款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小微贷款市场份额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短期贷款(1年内)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不良贷款率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小微贷款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小微贷款市场份额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短期贷款(1年内)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不良贷款率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(8)</w:t>
            </w:r>
          </w:p>
        </w:tc>
      </w:tr>
      <w:tr>
        <w:trPr>
          <w:gridAfter w:val="1"/>
          <w:wAfter w:w="24" w:type="dxa"/>
          <w:trHeight w:val="320" w:hRule="atLeast"/>
        </w:trPr>
        <w:tc>
          <w:tcPr>
            <w:tcW w:w="82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Panel A 基准回归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数字化转型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-0.29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-1.08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0.15**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-0.46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-1.15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-0.27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0.13*</w:t>
            </w:r>
          </w:p>
        </w:tc>
      </w:tr>
      <w:tr>
        <w:trPr>
          <w:trHeight w:val="320" w:hRule="atLeast"/>
        </w:trPr>
        <w:tc>
          <w:tcPr>
            <w:tcW w:w="116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(-0.37)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(-1.38)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(0.41)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(2.35)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(-0.53)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(-1.33)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(-0.10)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(1.72)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数字化转型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0.66*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-1.69*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-0.09***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-1.69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-0.09***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(0.93)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(1.88)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(-1.88)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(-2.69)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(1.64)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(1.10)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(-1.65)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(-2.63)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5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观测数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359</w:t>
            </w:r>
          </w:p>
        </w:tc>
      </w:tr>
      <w:tr>
        <w:trPr>
          <w:trHeight w:val="320" w:hRule="atLeast"/>
        </w:trPr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拟合优度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20" w:hRule="atLeast"/>
        </w:trPr>
        <w:tc>
          <w:tcPr>
            <w:tcW w:w="82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Panel B 地区异质性回归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数字化转型</w:t>
            </w:r>
          </w:p>
          <w:p>
            <w:pPr>
              <w:pStyle w:val="57"/>
              <w:rPr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× </m:t>
              </m:r>
            </m:oMath>
            <w:r>
              <w:rPr>
                <w:sz w:val="18"/>
                <w:szCs w:val="18"/>
              </w:rPr>
              <w:t>高普惠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2.00*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2.35**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0.02***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5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(1.91)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(-0.05)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(-1.49)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(2.04)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(2.64)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(0.22)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数字化转型</w:t>
            </w:r>
            <w:r>
              <w:rPr>
                <w:sz w:val="18"/>
                <w:szCs w:val="18"/>
                <w:vertAlign w:val="superscript"/>
              </w:rPr>
              <w:t>2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× </m:t>
              </m:r>
            </m:oMath>
            <w:r>
              <w:rPr>
                <w:sz w:val="18"/>
                <w:szCs w:val="18"/>
              </w:rPr>
              <w:t>高普惠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-1.23*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-0.01*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-3.31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5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(-1.87)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(0.26)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(-0.92)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(1.09)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(-1.39)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(-1.78)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(-1.23)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(1.22)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数字化转型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0.22**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-1.06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5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(-1.09)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(-0.11)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(0.19)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(2.58)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(-1.23)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(-0.73)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(-0.20)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(1.86)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数字化转型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0.86*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-0.11**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1.16*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0.01***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5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(1.82)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(-0.99)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(-0.27)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(-2.16)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(1.74)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(3.20)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(0.25)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(-1.99)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5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观测数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5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拟合优度</w:t>
            </w:r>
          </w:p>
        </w:tc>
        <w:tc>
          <w:tcPr>
            <w:tcW w:w="714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823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1128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804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803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1017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</w:tr>
    </w:tbl>
    <w:p>
      <w:pPr>
        <w:pStyle w:val="47"/>
        <w:ind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注：括号内为</w:t>
      </w:r>
      <w:r>
        <w:rPr>
          <w:i/>
          <w:iCs/>
          <w:sz w:val="18"/>
          <w:szCs w:val="18"/>
        </w:rPr>
        <w:t>t</w:t>
      </w:r>
      <w:r>
        <w:rPr>
          <w:rFonts w:hint="eastAsia"/>
          <w:sz w:val="18"/>
          <w:szCs w:val="18"/>
        </w:rPr>
        <w:t>值。数字化转型指数取标准化并滞后两期。除小微贷款市场份额外，各因变量均为贷款占总贷款和垫款的比重。高低普惠以八年平均普惠金融指数的中位数为界。控制变量包括银行总资产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对数）、流动性比例、成本收入比、资本充足率、银行所在省的人均</w:t>
      </w:r>
      <w:r>
        <w:rPr>
          <w:sz w:val="18"/>
          <w:szCs w:val="18"/>
        </w:rPr>
        <w:t>GDP</w:t>
      </w:r>
      <w:r>
        <w:rPr>
          <w:rFonts w:hint="eastAsia"/>
          <w:sz w:val="18"/>
          <w:szCs w:val="18"/>
        </w:rPr>
        <w:t>（对数）、人均</w:t>
      </w:r>
      <w:r>
        <w:rPr>
          <w:sz w:val="18"/>
          <w:szCs w:val="18"/>
        </w:rPr>
        <w:t>GDP</w:t>
      </w:r>
      <w:r>
        <w:rPr>
          <w:rFonts w:hint="eastAsia"/>
          <w:sz w:val="18"/>
          <w:szCs w:val="18"/>
        </w:rPr>
        <w:t>增长速度，以及银行和年份固定效应和银行类型特定的线性时间趋势。标准误为异方差稳健标准误。</w:t>
      </w:r>
      <w:r>
        <w:rPr>
          <w:sz w:val="18"/>
          <w:szCs w:val="18"/>
        </w:rPr>
        <w:t>***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**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表示在</w:t>
      </w:r>
      <w:r>
        <w:rPr>
          <w:sz w:val="18"/>
          <w:szCs w:val="18"/>
        </w:rPr>
        <w:t>1%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5%</w:t>
      </w:r>
      <w:r>
        <w:rPr>
          <w:rFonts w:hint="eastAsia"/>
          <w:sz w:val="18"/>
          <w:szCs w:val="18"/>
        </w:rPr>
        <w:t>和</w:t>
      </w:r>
      <w:r>
        <w:rPr>
          <w:sz w:val="18"/>
          <w:szCs w:val="18"/>
        </w:rPr>
        <w:t>10%</w:t>
      </w:r>
      <w:r>
        <w:rPr>
          <w:rFonts w:hint="eastAsia"/>
          <w:sz w:val="18"/>
          <w:szCs w:val="18"/>
        </w:rPr>
        <w:t>的水平上显著。</w:t>
      </w:r>
    </w:p>
    <w:p>
      <w:pPr>
        <w:widowControl/>
        <w:spacing w:line="240" w:lineRule="auto"/>
        <w:jc w:val="left"/>
        <w:rPr>
          <w:rFonts w:ascii="Times New Roman" w:hAnsi="Times New Roman" w:eastAsia="仿宋" w:cs="仿宋"/>
          <w:szCs w:val="21"/>
        </w:rPr>
      </w:pPr>
      <w:r>
        <w:br w:type="page"/>
      </w:r>
    </w:p>
    <w:p>
      <w:pPr>
        <w:pStyle w:val="45"/>
      </w:pPr>
      <w:r>
        <w:rPr>
          <w:rFonts w:hint="eastAsia" w:ascii="宋体" w:hAnsi="宋体" w:eastAsia="宋体" w:cs="宋体"/>
          <w:b/>
          <w:bCs w:val="0"/>
          <w:kern w:val="2"/>
          <w:sz w:val="20"/>
          <w:szCs w:val="20"/>
          <w:lang w:val="en-US" w:eastAsia="zh-CN" w:bidi="ar-SA"/>
        </w:rPr>
        <w:t>表A8 稳健性检验：数字化转型指数滞后三期</w:t>
      </w:r>
    </w:p>
    <w:tbl>
      <w:tblPr>
        <w:tblStyle w:val="1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670"/>
        <w:gridCol w:w="844"/>
        <w:gridCol w:w="1157"/>
        <w:gridCol w:w="892"/>
        <w:gridCol w:w="48"/>
        <w:gridCol w:w="824"/>
        <w:gridCol w:w="823"/>
        <w:gridCol w:w="1043"/>
        <w:gridCol w:w="934"/>
        <w:gridCol w:w="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40" w:hRule="atLeast"/>
        </w:trPr>
        <w:tc>
          <w:tcPr>
            <w:tcW w:w="1256" w:type="dxa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</w:p>
        </w:tc>
        <w:tc>
          <w:tcPr>
            <w:tcW w:w="3563" w:type="dxa"/>
            <w:gridSpan w:val="4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全样本</w:t>
            </w:r>
          </w:p>
        </w:tc>
        <w:tc>
          <w:tcPr>
            <w:tcW w:w="3672" w:type="dxa"/>
            <w:gridSpan w:val="5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城商行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因变量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小微贷款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小微贷款市场份额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短期贷款(1年内)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不良贷款率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小微贷款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小微贷款市场份额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短期贷款(1年内)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不良贷款率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(5)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(6)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(7)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20" w:hRule="atLeast"/>
        </w:trPr>
        <w:tc>
          <w:tcPr>
            <w:tcW w:w="84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Panel A 基准回归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数字化转型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-0.19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-0.80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-0.14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-1.85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(-0.24)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(-0.18)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(-0.29)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(1.15)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(-0.16)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(0.88)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(-0.62)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(0.82)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数字化转型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-0.10***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-0.11***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(0.46)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(-0.09)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(-0.08)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(-3.33)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(1.32)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(1.47)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(0.12)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(-3.00)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6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观测数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拟合优度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0.95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0.61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20" w:hRule="atLeast"/>
        </w:trPr>
        <w:tc>
          <w:tcPr>
            <w:tcW w:w="84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Panel B 地区异质性回归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数字化转型</w:t>
            </w:r>
          </w:p>
          <w:p>
            <w:pPr>
              <w:pStyle w:val="57"/>
              <w:rPr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 xml:space="preserve">× </m:t>
              </m:r>
            </m:oMath>
            <w:r>
              <w:rPr>
                <w:sz w:val="16"/>
                <w:szCs w:val="16"/>
              </w:rPr>
              <w:t>高普惠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2.28*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-2.48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2.61**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0.02**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-1.44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6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(1.84)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(0.22)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(-0.47)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(-1.21)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(1.97)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(2.32)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(-0.25)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(-1.04)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数字化转型</w:t>
            </w:r>
            <w:r>
              <w:rPr>
                <w:sz w:val="16"/>
                <w:szCs w:val="16"/>
                <w:vertAlign w:val="superscript"/>
              </w:rPr>
              <w:t>2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 xml:space="preserve">× </m:t>
              </m:r>
            </m:oMath>
            <w:r>
              <w:rPr>
                <w:sz w:val="16"/>
                <w:szCs w:val="16"/>
              </w:rPr>
              <w:t>高普惠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-0.93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-1.55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-0.67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-3.27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6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(-1.36)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(-0.08)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(-0.63)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(1.59)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(-0.97)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(0.68)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(-1.20)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(1.65)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数字化转型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-1.26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-1.51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-0.45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6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(-1.04)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(-0.20)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(0.17)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(1.53)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(-1.10)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(-0.59)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(-0.08)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(1.10)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数字化转型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-0.14***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1.84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-0.16***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6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(1.26)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(-0.02)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(0.26)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(-3.31)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(1.34)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(1.15)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(0.84)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(-2.86)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6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观测数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6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拟合优度</w:t>
            </w:r>
          </w:p>
        </w:tc>
        <w:tc>
          <w:tcPr>
            <w:tcW w:w="670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844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1157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0.61</w:t>
            </w:r>
          </w:p>
        </w:tc>
        <w:tc>
          <w:tcPr>
            <w:tcW w:w="824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823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1043" w:type="dxa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0.61</w:t>
            </w:r>
          </w:p>
        </w:tc>
      </w:tr>
    </w:tbl>
    <w:p>
      <w:pPr>
        <w:pStyle w:val="47"/>
        <w:ind w:firstLine="36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注：括号内为</w:t>
      </w:r>
      <w:r>
        <w:rPr>
          <w:i/>
          <w:iCs/>
          <w:sz w:val="18"/>
          <w:szCs w:val="18"/>
        </w:rPr>
        <w:t>t</w:t>
      </w:r>
      <w:r>
        <w:rPr>
          <w:rFonts w:hint="eastAsia"/>
          <w:sz w:val="18"/>
          <w:szCs w:val="18"/>
        </w:rPr>
        <w:t>值。数字化转型指数取标准化并滞后三期。除小微贷款市场份额外，各因变量均为贷款占总贷款和垫款的比重。高低普惠以八年平均普惠金融指数的中位数为界。控制变量包括银行总资产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对数）、流动性比例、成本收入比、资本充足率、银行所在省的人均</w:t>
      </w:r>
      <w:r>
        <w:rPr>
          <w:sz w:val="18"/>
          <w:szCs w:val="18"/>
        </w:rPr>
        <w:t>GDP</w:t>
      </w:r>
      <w:r>
        <w:rPr>
          <w:rFonts w:hint="eastAsia"/>
          <w:sz w:val="18"/>
          <w:szCs w:val="18"/>
        </w:rPr>
        <w:t>（对数）、人均</w:t>
      </w:r>
      <w:r>
        <w:rPr>
          <w:sz w:val="18"/>
          <w:szCs w:val="18"/>
        </w:rPr>
        <w:t>GDP</w:t>
      </w:r>
      <w:r>
        <w:rPr>
          <w:rFonts w:hint="eastAsia"/>
          <w:sz w:val="18"/>
          <w:szCs w:val="18"/>
        </w:rPr>
        <w:t>增长速度，以及银行和年份固定效应和银行类型特定的线性时间趋势。标准误为异方差稳健标准误。</w:t>
      </w:r>
      <w:r>
        <w:rPr>
          <w:sz w:val="18"/>
          <w:szCs w:val="18"/>
        </w:rPr>
        <w:t>***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**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表示在</w:t>
      </w:r>
      <w:r>
        <w:rPr>
          <w:sz w:val="18"/>
          <w:szCs w:val="18"/>
        </w:rPr>
        <w:t>1%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5%</w:t>
      </w:r>
      <w:r>
        <w:rPr>
          <w:rFonts w:hint="eastAsia"/>
          <w:sz w:val="18"/>
          <w:szCs w:val="18"/>
        </w:rPr>
        <w:t>和</w:t>
      </w:r>
      <w:r>
        <w:rPr>
          <w:sz w:val="18"/>
          <w:szCs w:val="18"/>
        </w:rPr>
        <w:t>10%</w:t>
      </w:r>
      <w:r>
        <w:rPr>
          <w:rFonts w:hint="eastAsia"/>
          <w:sz w:val="18"/>
          <w:szCs w:val="18"/>
        </w:rPr>
        <w:t>的水平上显著。</w:t>
      </w:r>
    </w:p>
    <w:p>
      <w:pPr>
        <w:pStyle w:val="47"/>
        <w:ind w:firstLine="360"/>
        <w:rPr>
          <w:rFonts w:hint="eastAsia"/>
          <w:sz w:val="18"/>
          <w:szCs w:val="18"/>
        </w:rPr>
      </w:pPr>
    </w:p>
    <w:p>
      <w:pPr>
        <w:pStyle w:val="47"/>
        <w:ind w:firstLine="360"/>
        <w:rPr>
          <w:rFonts w:hint="eastAsia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" w:leftChars="-1" w:firstLine="0"/>
        <w:textAlignment w:val="auto"/>
        <w:rPr>
          <w:rFonts w:ascii="宋体" w:hAnsi="宋体" w:cs="Arial"/>
          <w:b/>
          <w:bCs/>
          <w:color w:val="auto"/>
          <w:kern w:val="0"/>
          <w:szCs w:val="21"/>
        </w:rPr>
      </w:pPr>
      <w:r>
        <w:rPr>
          <w:rFonts w:hint="eastAsia" w:ascii="Calibri" w:hAnsi="Calibri" w:cs="Times New Roman"/>
          <w:b/>
          <w:color w:val="auto"/>
          <w:szCs w:val="22"/>
        </w:rPr>
        <w:t>注：该附录是期刊所发表论文的组成部分，同样视为作者公开发表的内容。如研究中使用该附录中的内容，</w:t>
      </w:r>
      <w:r>
        <w:rPr>
          <w:rFonts w:hint="eastAsia" w:ascii="宋体" w:hAnsi="宋体" w:cs="Arial"/>
          <w:b/>
          <w:bCs/>
          <w:color w:val="auto"/>
          <w:kern w:val="0"/>
          <w:szCs w:val="21"/>
        </w:rPr>
        <w:t>请务必在研究成果上注明</w:t>
      </w:r>
      <w:r>
        <w:rPr>
          <w:rFonts w:hint="eastAsia" w:ascii="宋体" w:hAnsi="宋体" w:cs="Arial"/>
          <w:b/>
          <w:bCs/>
          <w:color w:val="auto"/>
          <w:kern w:val="0"/>
          <w:szCs w:val="21"/>
          <w:lang w:val="en-US" w:eastAsia="zh-CN"/>
        </w:rPr>
        <w:t>附录</w:t>
      </w:r>
      <w:r>
        <w:rPr>
          <w:rFonts w:hint="eastAsia" w:ascii="宋体" w:hAnsi="宋体" w:cs="Arial"/>
          <w:b/>
          <w:bCs/>
          <w:color w:val="auto"/>
          <w:kern w:val="0"/>
          <w:szCs w:val="21"/>
        </w:rPr>
        <w:t>下载出处</w:t>
      </w:r>
      <w:r>
        <w:rPr>
          <w:rFonts w:hint="eastAsia" w:ascii="宋体" w:hAnsi="宋体" w:cs="Arial"/>
          <w:color w:val="auto"/>
          <w:kern w:val="0"/>
          <w:szCs w:val="21"/>
        </w:rPr>
        <w:t>。</w:t>
      </w:r>
    </w:p>
    <w:p>
      <w:pPr>
        <w:pStyle w:val="47"/>
        <w:ind w:firstLine="360"/>
        <w:rPr>
          <w:rFonts w:hint="eastAsia"/>
          <w:sz w:val="18"/>
          <w:szCs w:val="18"/>
        </w:rPr>
      </w:pP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</w:pPr>
      <w:r>
        <w:separator/>
      </w:r>
    </w:p>
  </w:footnote>
  <w:footnote w:type="continuationSeparator" w:id="1">
    <w:p>
      <w:pPr>
        <w:spacing w:line="28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default"/>
        <w:lang w:val="en-US" w:eastAsia="zh-CN"/>
      </w:rPr>
    </w:pPr>
    <w:r>
      <w:rPr>
        <w:rFonts w:hint="eastAsia"/>
        <w:lang w:val="en-US" w:eastAsia="zh-CN"/>
      </w:rPr>
      <w:t>《经济学》（季刊）                                                             2023年第5期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1NjUwMzW3sDSwNLFU0lEKTi0uzszPAykwrgUAbNj8WCwAAAA="/>
    <w:docVar w:name="commondata" w:val="eyJoZGlkIjoiMzk5YTY5MzAxODJhZDAxMGMwZGQwZTA0ZDg0NjA2ZDkifQ=="/>
  </w:docVars>
  <w:rsids>
    <w:rsidRoot w:val="00C93C8C"/>
    <w:rsid w:val="00006EC1"/>
    <w:rsid w:val="00007E07"/>
    <w:rsid w:val="00020118"/>
    <w:rsid w:val="000515B1"/>
    <w:rsid w:val="00052276"/>
    <w:rsid w:val="00056DD8"/>
    <w:rsid w:val="000A74A5"/>
    <w:rsid w:val="000C4D12"/>
    <w:rsid w:val="000D0B7E"/>
    <w:rsid w:val="000D6518"/>
    <w:rsid w:val="000F6A96"/>
    <w:rsid w:val="00101ED7"/>
    <w:rsid w:val="0010374C"/>
    <w:rsid w:val="00103BEA"/>
    <w:rsid w:val="0011309A"/>
    <w:rsid w:val="00114D26"/>
    <w:rsid w:val="00122099"/>
    <w:rsid w:val="00132456"/>
    <w:rsid w:val="00133EFD"/>
    <w:rsid w:val="0019397B"/>
    <w:rsid w:val="0019676E"/>
    <w:rsid w:val="001A3552"/>
    <w:rsid w:val="001A6079"/>
    <w:rsid w:val="001B189E"/>
    <w:rsid w:val="001D4282"/>
    <w:rsid w:val="001E6F86"/>
    <w:rsid w:val="001F0C34"/>
    <w:rsid w:val="00200695"/>
    <w:rsid w:val="00216E3D"/>
    <w:rsid w:val="00236582"/>
    <w:rsid w:val="00242691"/>
    <w:rsid w:val="00251B27"/>
    <w:rsid w:val="0026671D"/>
    <w:rsid w:val="00280E1B"/>
    <w:rsid w:val="002A5A74"/>
    <w:rsid w:val="002C3736"/>
    <w:rsid w:val="002E3983"/>
    <w:rsid w:val="002E46FC"/>
    <w:rsid w:val="00312767"/>
    <w:rsid w:val="00331223"/>
    <w:rsid w:val="00336051"/>
    <w:rsid w:val="003412D9"/>
    <w:rsid w:val="0034729D"/>
    <w:rsid w:val="003730ED"/>
    <w:rsid w:val="003B5871"/>
    <w:rsid w:val="003C30B5"/>
    <w:rsid w:val="003C3FF6"/>
    <w:rsid w:val="003D320D"/>
    <w:rsid w:val="004258AC"/>
    <w:rsid w:val="004259BB"/>
    <w:rsid w:val="00457894"/>
    <w:rsid w:val="00461179"/>
    <w:rsid w:val="00467E22"/>
    <w:rsid w:val="004714FE"/>
    <w:rsid w:val="00493D6D"/>
    <w:rsid w:val="004966BD"/>
    <w:rsid w:val="00496CB2"/>
    <w:rsid w:val="004A16EF"/>
    <w:rsid w:val="004C1BDB"/>
    <w:rsid w:val="004C2BB6"/>
    <w:rsid w:val="004E7203"/>
    <w:rsid w:val="004F24DD"/>
    <w:rsid w:val="00533B31"/>
    <w:rsid w:val="0055121E"/>
    <w:rsid w:val="00554604"/>
    <w:rsid w:val="00574C1D"/>
    <w:rsid w:val="00577E99"/>
    <w:rsid w:val="00585B4C"/>
    <w:rsid w:val="005A2EB0"/>
    <w:rsid w:val="005B2518"/>
    <w:rsid w:val="005B343F"/>
    <w:rsid w:val="00605E66"/>
    <w:rsid w:val="00615262"/>
    <w:rsid w:val="006312A4"/>
    <w:rsid w:val="00664DCF"/>
    <w:rsid w:val="006A45E0"/>
    <w:rsid w:val="006B49F6"/>
    <w:rsid w:val="006C63E5"/>
    <w:rsid w:val="006C656C"/>
    <w:rsid w:val="006D48B6"/>
    <w:rsid w:val="006D5DBD"/>
    <w:rsid w:val="006E16AB"/>
    <w:rsid w:val="006F0E49"/>
    <w:rsid w:val="006F2C54"/>
    <w:rsid w:val="00731D4B"/>
    <w:rsid w:val="00751B28"/>
    <w:rsid w:val="00753070"/>
    <w:rsid w:val="00753889"/>
    <w:rsid w:val="00755B88"/>
    <w:rsid w:val="00761936"/>
    <w:rsid w:val="00761D14"/>
    <w:rsid w:val="00772DEC"/>
    <w:rsid w:val="00785CF6"/>
    <w:rsid w:val="007B1B82"/>
    <w:rsid w:val="007C74CF"/>
    <w:rsid w:val="007D6D8C"/>
    <w:rsid w:val="00806588"/>
    <w:rsid w:val="008065BE"/>
    <w:rsid w:val="00806994"/>
    <w:rsid w:val="00810384"/>
    <w:rsid w:val="00811DC5"/>
    <w:rsid w:val="00830C12"/>
    <w:rsid w:val="00833E15"/>
    <w:rsid w:val="00841175"/>
    <w:rsid w:val="00852355"/>
    <w:rsid w:val="00892437"/>
    <w:rsid w:val="008A412F"/>
    <w:rsid w:val="008C4A79"/>
    <w:rsid w:val="008D5423"/>
    <w:rsid w:val="008D66CC"/>
    <w:rsid w:val="008E27B6"/>
    <w:rsid w:val="008E5F5D"/>
    <w:rsid w:val="008F4844"/>
    <w:rsid w:val="008F6F16"/>
    <w:rsid w:val="00901822"/>
    <w:rsid w:val="00911469"/>
    <w:rsid w:val="00921DC5"/>
    <w:rsid w:val="00934D41"/>
    <w:rsid w:val="00966725"/>
    <w:rsid w:val="00992F79"/>
    <w:rsid w:val="009A125E"/>
    <w:rsid w:val="009A60D7"/>
    <w:rsid w:val="009D4DBF"/>
    <w:rsid w:val="009E703A"/>
    <w:rsid w:val="00A35956"/>
    <w:rsid w:val="00A60D0F"/>
    <w:rsid w:val="00A96DE3"/>
    <w:rsid w:val="00AC4FDA"/>
    <w:rsid w:val="00AD0524"/>
    <w:rsid w:val="00AD528D"/>
    <w:rsid w:val="00AD7C0D"/>
    <w:rsid w:val="00B03D90"/>
    <w:rsid w:val="00B35208"/>
    <w:rsid w:val="00B417A9"/>
    <w:rsid w:val="00B46237"/>
    <w:rsid w:val="00B65AD9"/>
    <w:rsid w:val="00B77AA5"/>
    <w:rsid w:val="00B85BBF"/>
    <w:rsid w:val="00BB53D4"/>
    <w:rsid w:val="00BC1729"/>
    <w:rsid w:val="00BD6445"/>
    <w:rsid w:val="00BD7489"/>
    <w:rsid w:val="00BE387C"/>
    <w:rsid w:val="00BE40A0"/>
    <w:rsid w:val="00C01F4C"/>
    <w:rsid w:val="00C305F0"/>
    <w:rsid w:val="00C3593D"/>
    <w:rsid w:val="00C470FB"/>
    <w:rsid w:val="00C4748E"/>
    <w:rsid w:val="00C6146B"/>
    <w:rsid w:val="00C64AFE"/>
    <w:rsid w:val="00C750A0"/>
    <w:rsid w:val="00C93C8C"/>
    <w:rsid w:val="00CA5A49"/>
    <w:rsid w:val="00CD4F82"/>
    <w:rsid w:val="00CD5A93"/>
    <w:rsid w:val="00CD6D2C"/>
    <w:rsid w:val="00CF41F2"/>
    <w:rsid w:val="00CF73CF"/>
    <w:rsid w:val="00D3377B"/>
    <w:rsid w:val="00D557FA"/>
    <w:rsid w:val="00D61827"/>
    <w:rsid w:val="00D8337C"/>
    <w:rsid w:val="00D91674"/>
    <w:rsid w:val="00DB0D7F"/>
    <w:rsid w:val="00DB36C8"/>
    <w:rsid w:val="00DE2152"/>
    <w:rsid w:val="00DF078F"/>
    <w:rsid w:val="00E050EA"/>
    <w:rsid w:val="00E373EA"/>
    <w:rsid w:val="00E60F37"/>
    <w:rsid w:val="00E64D0C"/>
    <w:rsid w:val="00E73D45"/>
    <w:rsid w:val="00E95722"/>
    <w:rsid w:val="00EB0F9A"/>
    <w:rsid w:val="00EC564A"/>
    <w:rsid w:val="00ED2440"/>
    <w:rsid w:val="00ED6C05"/>
    <w:rsid w:val="00F0746F"/>
    <w:rsid w:val="00F154CA"/>
    <w:rsid w:val="00F20ACB"/>
    <w:rsid w:val="00F220BE"/>
    <w:rsid w:val="00F2316D"/>
    <w:rsid w:val="00F24157"/>
    <w:rsid w:val="00F36C74"/>
    <w:rsid w:val="00F37CAC"/>
    <w:rsid w:val="00F50EEC"/>
    <w:rsid w:val="00F545A2"/>
    <w:rsid w:val="00F655BA"/>
    <w:rsid w:val="00FC4677"/>
    <w:rsid w:val="00FC7E29"/>
    <w:rsid w:val="00FD175D"/>
    <w:rsid w:val="00FD749F"/>
    <w:rsid w:val="00FE1D53"/>
    <w:rsid w:val="00FE4A63"/>
    <w:rsid w:val="00FE6FAE"/>
    <w:rsid w:val="00FF2F2E"/>
    <w:rsid w:val="2CF30932"/>
    <w:rsid w:val="3C4D6CFE"/>
    <w:rsid w:val="535A0EB9"/>
    <w:rsid w:val="5616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widowControl/>
      <w:spacing w:line="240" w:lineRule="auto"/>
      <w:jc w:val="center"/>
      <w:outlineLvl w:val="0"/>
    </w:pPr>
    <w:rPr>
      <w:rFonts w:ascii="Times New Roman" w:hAnsi="Times New Roman" w:eastAsia="仿宋" w:cs="仿宋"/>
      <w:sz w:val="36"/>
      <w:szCs w:val="3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rPr>
      <w:rFonts w:asciiTheme="majorHAnsi" w:hAnsiTheme="majorHAnsi" w:cstheme="majorBidi"/>
      <w:sz w:val="20"/>
      <w:szCs w:val="20"/>
    </w:rPr>
  </w:style>
  <w:style w:type="paragraph" w:styleId="4">
    <w:name w:val="annotation text"/>
    <w:basedOn w:val="1"/>
    <w:link w:val="38"/>
    <w:semiHidden/>
    <w:unhideWhenUsed/>
    <w:qFormat/>
    <w:uiPriority w:val="99"/>
  </w:style>
  <w:style w:type="paragraph" w:styleId="5">
    <w:name w:val="Body Text"/>
    <w:basedOn w:val="1"/>
    <w:link w:val="59"/>
    <w:semiHidden/>
    <w:unhideWhenUsed/>
    <w:qFormat/>
    <w:uiPriority w:val="99"/>
    <w:pPr>
      <w:spacing w:after="120"/>
    </w:pPr>
  </w:style>
  <w:style w:type="paragraph" w:styleId="6">
    <w:name w:val="endnote text"/>
    <w:basedOn w:val="1"/>
    <w:link w:val="28"/>
    <w:unhideWhenUsed/>
    <w:qFormat/>
    <w:uiPriority w:val="99"/>
    <w:pPr>
      <w:snapToGrid w:val="0"/>
    </w:pPr>
  </w:style>
  <w:style w:type="paragraph" w:styleId="7">
    <w:name w:val="Balloon Text"/>
    <w:basedOn w:val="1"/>
    <w:link w:val="4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58"/>
    <w:qFormat/>
    <w:uiPriority w:val="11"/>
    <w:pPr>
      <w:widowControl/>
      <w:spacing w:line="240" w:lineRule="atLeast"/>
      <w:jc w:val="center"/>
    </w:pPr>
    <w:rPr>
      <w:rFonts w:ascii="Times New Roman" w:hAnsi="Times New Roman" w:eastAsia="仿宋" w:cs="仿宋"/>
      <w:sz w:val="32"/>
      <w:szCs w:val="32"/>
    </w:rPr>
  </w:style>
  <w:style w:type="paragraph" w:styleId="11">
    <w:name w:val="footnote text"/>
    <w:basedOn w:val="1"/>
    <w:link w:val="27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</w:style>
  <w:style w:type="paragraph" w:styleId="13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eastAsia="华文中宋" w:asciiTheme="majorHAnsi" w:hAnsiTheme="majorHAnsi" w:cstheme="majorBidi"/>
      <w:b/>
      <w:bCs/>
      <w:sz w:val="28"/>
      <w:szCs w:val="32"/>
    </w:rPr>
  </w:style>
  <w:style w:type="paragraph" w:styleId="14">
    <w:name w:val="annotation subject"/>
    <w:basedOn w:val="4"/>
    <w:next w:val="4"/>
    <w:link w:val="39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ndnote reference"/>
    <w:basedOn w:val="17"/>
    <w:unhideWhenUsed/>
    <w:qFormat/>
    <w:uiPriority w:val="99"/>
    <w:rPr>
      <w:vertAlign w:val="superscript"/>
    </w:rPr>
  </w:style>
  <w:style w:type="character" w:styleId="20">
    <w:name w:val="FollowedHyperlink"/>
    <w:basedOn w:val="1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qFormat/>
    <w:uiPriority w:val="0"/>
    <w:rPr>
      <w:color w:val="0563C1"/>
      <w:u w:val="single"/>
    </w:rPr>
  </w:style>
  <w:style w:type="character" w:styleId="22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styleId="23">
    <w:name w:val="footnote reference"/>
    <w:basedOn w:val="17"/>
    <w:unhideWhenUsed/>
    <w:qFormat/>
    <w:uiPriority w:val="99"/>
    <w:rPr>
      <w:vertAlign w:val="superscript"/>
    </w:rPr>
  </w:style>
  <w:style w:type="character" w:customStyle="1" w:styleId="24">
    <w:name w:val="标题 1 字符"/>
    <w:basedOn w:val="17"/>
    <w:link w:val="2"/>
    <w:qFormat/>
    <w:uiPriority w:val="9"/>
    <w:rPr>
      <w:rFonts w:ascii="Times New Roman" w:hAnsi="Times New Roman" w:eastAsia="仿宋" w:cs="仿宋"/>
      <w:sz w:val="36"/>
      <w:szCs w:val="36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标题 字符"/>
    <w:basedOn w:val="17"/>
    <w:link w:val="13"/>
    <w:qFormat/>
    <w:uiPriority w:val="10"/>
    <w:rPr>
      <w:rFonts w:eastAsia="华文中宋" w:asciiTheme="majorHAnsi" w:hAnsiTheme="majorHAnsi" w:cstheme="majorBidi"/>
      <w:b/>
      <w:bCs/>
      <w:sz w:val="28"/>
      <w:szCs w:val="32"/>
    </w:rPr>
  </w:style>
  <w:style w:type="character" w:customStyle="1" w:styleId="27">
    <w:name w:val="脚注文本 字符"/>
    <w:basedOn w:val="17"/>
    <w:link w:val="11"/>
    <w:qFormat/>
    <w:uiPriority w:val="99"/>
    <w:rPr>
      <w:rFonts w:eastAsia="宋体"/>
      <w:sz w:val="18"/>
      <w:szCs w:val="18"/>
    </w:rPr>
  </w:style>
  <w:style w:type="character" w:customStyle="1" w:styleId="28">
    <w:name w:val="尾注文本 字符"/>
    <w:basedOn w:val="17"/>
    <w:link w:val="6"/>
    <w:qFormat/>
    <w:uiPriority w:val="99"/>
    <w:rPr>
      <w:rFonts w:eastAsia="宋体"/>
      <w:sz w:val="21"/>
    </w:rPr>
  </w:style>
  <w:style w:type="character" w:customStyle="1" w:styleId="29">
    <w:name w:val="页眉 字符"/>
    <w:basedOn w:val="17"/>
    <w:link w:val="9"/>
    <w:qFormat/>
    <w:uiPriority w:val="99"/>
    <w:rPr>
      <w:rFonts w:eastAsia="宋体"/>
      <w:sz w:val="18"/>
      <w:szCs w:val="18"/>
    </w:rPr>
  </w:style>
  <w:style w:type="character" w:customStyle="1" w:styleId="30">
    <w:name w:val="页脚 字符"/>
    <w:basedOn w:val="17"/>
    <w:link w:val="8"/>
    <w:qFormat/>
    <w:uiPriority w:val="99"/>
    <w:rPr>
      <w:rFonts w:eastAsia="宋体"/>
      <w:sz w:val="18"/>
      <w:szCs w:val="18"/>
    </w:rPr>
  </w:style>
  <w:style w:type="paragraph" w:customStyle="1" w:styleId="31">
    <w:name w:val="正文内容"/>
    <w:basedOn w:val="1"/>
    <w:link w:val="32"/>
    <w:qFormat/>
    <w:uiPriority w:val="0"/>
    <w:pPr>
      <w:widowControl/>
      <w:spacing w:line="240" w:lineRule="auto"/>
      <w:ind w:firstLine="420" w:firstLineChars="200"/>
    </w:pPr>
    <w:rPr>
      <w:rFonts w:ascii="Times New Roman" w:hAnsi="Times New Roman" w:eastAsia="仿宋" w:cs="仿宋"/>
      <w:szCs w:val="18"/>
    </w:rPr>
  </w:style>
  <w:style w:type="character" w:customStyle="1" w:styleId="32">
    <w:name w:val="正文内容 字符"/>
    <w:basedOn w:val="17"/>
    <w:link w:val="31"/>
    <w:qFormat/>
    <w:uiPriority w:val="0"/>
    <w:rPr>
      <w:rFonts w:ascii="Times New Roman" w:hAnsi="Times New Roman" w:eastAsia="仿宋" w:cs="仿宋"/>
      <w:sz w:val="21"/>
      <w:szCs w:val="18"/>
    </w:rPr>
  </w:style>
  <w:style w:type="paragraph" w:customStyle="1" w:styleId="33">
    <w:name w:val="参考文献"/>
    <w:basedOn w:val="31"/>
    <w:link w:val="34"/>
    <w:qFormat/>
    <w:uiPriority w:val="0"/>
    <w:pPr>
      <w:ind w:firstLine="0" w:firstLineChars="0"/>
    </w:pPr>
  </w:style>
  <w:style w:type="character" w:customStyle="1" w:styleId="34">
    <w:name w:val="参考文献 字符"/>
    <w:basedOn w:val="32"/>
    <w:link w:val="33"/>
    <w:qFormat/>
    <w:uiPriority w:val="0"/>
    <w:rPr>
      <w:rFonts w:ascii="Times New Roman" w:hAnsi="Times New Roman" w:eastAsia="仿宋" w:cs="仿宋"/>
      <w:sz w:val="21"/>
      <w:szCs w:val="18"/>
    </w:rPr>
  </w:style>
  <w:style w:type="paragraph" w:customStyle="1" w:styleId="35">
    <w:name w:val="二级标题"/>
    <w:basedOn w:val="1"/>
    <w:link w:val="36"/>
    <w:qFormat/>
    <w:uiPriority w:val="0"/>
    <w:pPr>
      <w:widowControl/>
      <w:spacing w:line="480" w:lineRule="auto"/>
      <w:ind w:firstLine="420" w:firstLineChars="200"/>
    </w:pPr>
    <w:rPr>
      <w:rFonts w:ascii="仿宋" w:hAnsi="仿宋" w:eastAsia="仿宋" w:cs="Times New Roman"/>
      <w:szCs w:val="21"/>
    </w:rPr>
  </w:style>
  <w:style w:type="character" w:customStyle="1" w:styleId="36">
    <w:name w:val="二级标题 字符"/>
    <w:basedOn w:val="17"/>
    <w:link w:val="35"/>
    <w:qFormat/>
    <w:uiPriority w:val="0"/>
    <w:rPr>
      <w:rFonts w:ascii="仿宋" w:hAnsi="仿宋" w:eastAsia="仿宋" w:cs="Times New Roman"/>
      <w:sz w:val="21"/>
      <w:szCs w:val="21"/>
    </w:rPr>
  </w:style>
  <w:style w:type="character" w:styleId="37">
    <w:name w:val="Placeholder Text"/>
    <w:basedOn w:val="17"/>
    <w:semiHidden/>
    <w:qFormat/>
    <w:uiPriority w:val="99"/>
    <w:rPr>
      <w:color w:val="808080"/>
    </w:rPr>
  </w:style>
  <w:style w:type="character" w:customStyle="1" w:styleId="38">
    <w:name w:val="批注文字 字符"/>
    <w:basedOn w:val="17"/>
    <w:link w:val="4"/>
    <w:semiHidden/>
    <w:qFormat/>
    <w:uiPriority w:val="99"/>
    <w:rPr>
      <w:rFonts w:eastAsia="宋体"/>
      <w:sz w:val="21"/>
    </w:rPr>
  </w:style>
  <w:style w:type="character" w:customStyle="1" w:styleId="39">
    <w:name w:val="批注主题 字符"/>
    <w:basedOn w:val="38"/>
    <w:link w:val="14"/>
    <w:semiHidden/>
    <w:qFormat/>
    <w:uiPriority w:val="99"/>
    <w:rPr>
      <w:rFonts w:eastAsia="宋体"/>
      <w:b/>
      <w:bCs/>
      <w:sz w:val="21"/>
    </w:rPr>
  </w:style>
  <w:style w:type="character" w:customStyle="1" w:styleId="40">
    <w:name w:val="批注框文本 字符"/>
    <w:basedOn w:val="17"/>
    <w:link w:val="7"/>
    <w:semiHidden/>
    <w:qFormat/>
    <w:uiPriority w:val="99"/>
    <w:rPr>
      <w:rFonts w:eastAsia="宋体"/>
      <w:sz w:val="18"/>
      <w:szCs w:val="18"/>
    </w:rPr>
  </w:style>
  <w:style w:type="paragraph" w:customStyle="1" w:styleId="41">
    <w:name w:val="脚注"/>
    <w:basedOn w:val="11"/>
    <w:link w:val="42"/>
    <w:qFormat/>
    <w:uiPriority w:val="0"/>
    <w:pPr>
      <w:spacing w:line="240" w:lineRule="auto"/>
    </w:pPr>
    <w:rPr>
      <w:rFonts w:ascii="Times New Roman" w:hAnsi="Times New Roman" w:eastAsia="仿宋" w:cs="Times New Roman"/>
      <w:sz w:val="15"/>
    </w:rPr>
  </w:style>
  <w:style w:type="character" w:customStyle="1" w:styleId="42">
    <w:name w:val="脚注 字符"/>
    <w:basedOn w:val="27"/>
    <w:link w:val="41"/>
    <w:qFormat/>
    <w:uiPriority w:val="0"/>
    <w:rPr>
      <w:rFonts w:ascii="Times New Roman" w:hAnsi="Times New Roman" w:eastAsia="仿宋" w:cs="Times New Roman"/>
      <w:sz w:val="15"/>
      <w:szCs w:val="18"/>
    </w:rPr>
  </w:style>
  <w:style w:type="paragraph" w:customStyle="1" w:styleId="43">
    <w:name w:val="三级标题"/>
    <w:basedOn w:val="1"/>
    <w:link w:val="44"/>
    <w:qFormat/>
    <w:uiPriority w:val="0"/>
    <w:pPr>
      <w:widowControl/>
      <w:spacing w:line="240" w:lineRule="auto"/>
      <w:ind w:firstLine="420" w:firstLineChars="200"/>
    </w:pPr>
    <w:rPr>
      <w:rFonts w:ascii="Times New Roman" w:hAnsi="Times New Roman" w:eastAsia="仿宋" w:cs="Times New Roman"/>
      <w:szCs w:val="21"/>
    </w:rPr>
  </w:style>
  <w:style w:type="character" w:customStyle="1" w:styleId="44">
    <w:name w:val="三级标题 字符"/>
    <w:basedOn w:val="17"/>
    <w:link w:val="43"/>
    <w:qFormat/>
    <w:uiPriority w:val="0"/>
    <w:rPr>
      <w:rFonts w:ascii="Times New Roman" w:hAnsi="Times New Roman" w:eastAsia="仿宋" w:cs="Times New Roman"/>
      <w:sz w:val="21"/>
      <w:szCs w:val="21"/>
    </w:rPr>
  </w:style>
  <w:style w:type="paragraph" w:customStyle="1" w:styleId="45">
    <w:name w:val="图表标题"/>
    <w:basedOn w:val="1"/>
    <w:link w:val="46"/>
    <w:qFormat/>
    <w:uiPriority w:val="0"/>
    <w:pPr>
      <w:widowControl/>
      <w:spacing w:line="360" w:lineRule="auto"/>
      <w:jc w:val="center"/>
    </w:pPr>
    <w:rPr>
      <w:rFonts w:ascii="黑体" w:hAnsi="黑体" w:eastAsia="黑体" w:cs="Times New Roman"/>
      <w:b/>
      <w:szCs w:val="21"/>
    </w:rPr>
  </w:style>
  <w:style w:type="character" w:customStyle="1" w:styleId="46">
    <w:name w:val="图表标题 字符"/>
    <w:basedOn w:val="17"/>
    <w:link w:val="45"/>
    <w:qFormat/>
    <w:uiPriority w:val="0"/>
    <w:rPr>
      <w:rFonts w:ascii="黑体" w:hAnsi="黑体" w:eastAsia="黑体" w:cs="Times New Roman"/>
      <w:b/>
      <w:sz w:val="21"/>
      <w:szCs w:val="21"/>
    </w:rPr>
  </w:style>
  <w:style w:type="paragraph" w:customStyle="1" w:styleId="47">
    <w:name w:val="图表注"/>
    <w:basedOn w:val="1"/>
    <w:link w:val="48"/>
    <w:qFormat/>
    <w:uiPriority w:val="0"/>
    <w:pPr>
      <w:widowControl/>
      <w:spacing w:after="156" w:afterLines="50" w:line="240" w:lineRule="auto"/>
      <w:ind w:firstLine="420" w:firstLineChars="200"/>
      <w:jc w:val="left"/>
    </w:pPr>
    <w:rPr>
      <w:rFonts w:ascii="Times New Roman" w:hAnsi="Times New Roman" w:eastAsia="仿宋" w:cs="仿宋"/>
      <w:szCs w:val="21"/>
    </w:rPr>
  </w:style>
  <w:style w:type="character" w:customStyle="1" w:styleId="48">
    <w:name w:val="图表注 字符"/>
    <w:basedOn w:val="17"/>
    <w:link w:val="47"/>
    <w:qFormat/>
    <w:uiPriority w:val="0"/>
    <w:rPr>
      <w:rFonts w:ascii="Times New Roman" w:hAnsi="Times New Roman" w:eastAsia="仿宋" w:cs="仿宋"/>
      <w:sz w:val="21"/>
      <w:szCs w:val="21"/>
    </w:rPr>
  </w:style>
  <w:style w:type="paragraph" w:customStyle="1" w:styleId="49">
    <w:name w:val="一级标题"/>
    <w:basedOn w:val="1"/>
    <w:link w:val="50"/>
    <w:qFormat/>
    <w:uiPriority w:val="0"/>
    <w:pPr>
      <w:widowControl/>
      <w:spacing w:line="720" w:lineRule="auto"/>
      <w:jc w:val="center"/>
    </w:pPr>
    <w:rPr>
      <w:rFonts w:ascii="楷体" w:hAnsi="楷体" w:eastAsia="楷体" w:cs="Times New Roman"/>
      <w:sz w:val="28"/>
      <w:szCs w:val="20"/>
    </w:rPr>
  </w:style>
  <w:style w:type="character" w:customStyle="1" w:styleId="50">
    <w:name w:val="一级标题 字符"/>
    <w:basedOn w:val="17"/>
    <w:link w:val="49"/>
    <w:qFormat/>
    <w:uiPriority w:val="0"/>
    <w:rPr>
      <w:rFonts w:ascii="楷体" w:hAnsi="楷体" w:eastAsia="楷体" w:cs="Times New Roman"/>
      <w:sz w:val="28"/>
      <w:szCs w:val="20"/>
    </w:rPr>
  </w:style>
  <w:style w:type="character" w:customStyle="1" w:styleId="5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2">
    <w:name w:val="Revision"/>
    <w:hidden/>
    <w:semiHidden/>
    <w:qFormat/>
    <w:uiPriority w:val="99"/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paragraph" w:customStyle="1" w:styleId="53">
    <w:name w:val="摘要"/>
    <w:basedOn w:val="1"/>
    <w:link w:val="54"/>
    <w:qFormat/>
    <w:uiPriority w:val="0"/>
    <w:pPr>
      <w:widowControl/>
      <w:spacing w:line="240" w:lineRule="auto"/>
      <w:ind w:left="420" w:leftChars="200" w:right="420" w:rightChars="200" w:firstLine="422" w:firstLineChars="200"/>
    </w:pPr>
    <w:rPr>
      <w:rFonts w:ascii="Times New Roman" w:hAnsi="Times New Roman" w:eastAsia="仿宋" w:cs="仿宋"/>
      <w:szCs w:val="21"/>
    </w:rPr>
  </w:style>
  <w:style w:type="character" w:customStyle="1" w:styleId="54">
    <w:name w:val="摘要 字符"/>
    <w:basedOn w:val="17"/>
    <w:link w:val="53"/>
    <w:qFormat/>
    <w:uiPriority w:val="0"/>
    <w:rPr>
      <w:rFonts w:ascii="Times New Roman" w:hAnsi="Times New Roman" w:eastAsia="仿宋" w:cs="仿宋"/>
      <w:sz w:val="21"/>
      <w:szCs w:val="21"/>
    </w:rPr>
  </w:style>
  <w:style w:type="paragraph" w:customStyle="1" w:styleId="55">
    <w:name w:val="作者"/>
    <w:basedOn w:val="1"/>
    <w:link w:val="56"/>
    <w:qFormat/>
    <w:uiPriority w:val="0"/>
    <w:pPr>
      <w:widowControl/>
      <w:spacing w:line="240" w:lineRule="auto"/>
      <w:jc w:val="center"/>
    </w:pPr>
    <w:rPr>
      <w:rFonts w:ascii="楷体" w:hAnsi="楷体" w:eastAsia="楷体" w:cs="楷体"/>
      <w:sz w:val="28"/>
      <w:szCs w:val="28"/>
    </w:rPr>
  </w:style>
  <w:style w:type="character" w:customStyle="1" w:styleId="56">
    <w:name w:val="作者 字符"/>
    <w:basedOn w:val="17"/>
    <w:link w:val="55"/>
    <w:qFormat/>
    <w:uiPriority w:val="0"/>
    <w:rPr>
      <w:rFonts w:ascii="楷体" w:hAnsi="楷体" w:eastAsia="楷体" w:cs="楷体"/>
      <w:sz w:val="28"/>
      <w:szCs w:val="28"/>
    </w:rPr>
  </w:style>
  <w:style w:type="paragraph" w:customStyle="1" w:styleId="57">
    <w:name w:val="表格内容"/>
    <w:basedOn w:val="31"/>
    <w:qFormat/>
    <w:uiPriority w:val="0"/>
    <w:pPr>
      <w:ind w:firstLine="0" w:firstLineChars="0"/>
      <w:jc w:val="center"/>
    </w:pPr>
    <w:rPr>
      <w:sz w:val="18"/>
    </w:rPr>
  </w:style>
  <w:style w:type="character" w:customStyle="1" w:styleId="58">
    <w:name w:val="副标题 字符"/>
    <w:basedOn w:val="17"/>
    <w:link w:val="10"/>
    <w:qFormat/>
    <w:uiPriority w:val="11"/>
    <w:rPr>
      <w:rFonts w:ascii="Times New Roman" w:hAnsi="Times New Roman" w:eastAsia="仿宋" w:cs="仿宋"/>
      <w:sz w:val="32"/>
      <w:szCs w:val="32"/>
    </w:rPr>
  </w:style>
  <w:style w:type="character" w:customStyle="1" w:styleId="59">
    <w:name w:val="正文文本 字符"/>
    <w:basedOn w:val="17"/>
    <w:link w:val="5"/>
    <w:semiHidden/>
    <w:qFormat/>
    <w:uiPriority w:val="99"/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1750</Words>
  <Characters>9981</Characters>
  <Lines>83</Lines>
  <Paragraphs>23</Paragraphs>
  <TotalTime>2</TotalTime>
  <ScaleCrop>false</ScaleCrop>
  <LinksUpToDate>false</LinksUpToDate>
  <CharactersWithSpaces>11708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2023-09-14T10:40:00Z</dcterms:created>
  <dc:creator>Jiaqi</dc:creator>
  <cp:lastModifiedBy>刘京</cp:lastModifiedBy>
  <dcterms:modified xsi:type="dcterms:W3CDTF">2023-09-24T04:37:00Z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732695FCF7194C1DB457A1F8D23A5247_13</vt:lpwstr>
  </property>
</Properties>
</file>